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Vendor: Word Probe Agency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Question 1: We have delivered 6 relevant child-focused campaigns in the last 3 years.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Question 2: Yes, we support child advertising and claims compliance review.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Question 3: Engagement lead: Priya Menon.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Pricing: Strategy &amp; Creative Development = USD 120000 per Lot.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