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160"/>
      </w:pPr>
      <w:r>
        <w:rPr>
          <w:rFonts w:ascii="Helvetica" w:hAnsi="Helvetica" w:cs="Helvetica"/>
          <w:sz w:val="48"/>
          <w:sz-cs w:val="48"/>
          <w:b/>
          <w:spacing w:val="0"/>
        </w:rPr>
        <w:t xml:space="preserve">SparkBridge Global Submission</w:t>
      </w:r>
    </w:p>
    <w:p>
      <w:pPr>
        <w:spacing w:after="160"/>
      </w:pPr>
      <w:r>
        <w:rPr>
          <w:rFonts w:ascii="Helvetica" w:hAnsi="Helvetica" w:cs="Helvetica"/>
          <w:sz w:val="29"/>
          <w:sz-cs w:val="29"/>
          <w:spacing w:val="0"/>
        </w:rPr>
        <w:t xml:space="preserve">Prepared by: SparkBridge Global Launch Practice | Contact: Sarah Lin | Currency: USD</w:t>
      </w:r>
    </w:p>
    <w:p>
      <w:pPr>
        <w:spacing w:after="160"/>
      </w:pPr>
      <w:r>
        <w:rPr>
          <w:rFonts w:ascii="Helvetica" w:hAnsi="Helvetica" w:cs="Helvetica"/>
          <w:sz w:val="29"/>
          <w:sz-cs w:val="29"/>
          <w:spacing w:val="0"/>
        </w:rPr>
        <w:t xml:space="preserve">RFQ Reference: RFQ-MKT-KIDS-GL-2026-001 - RFQ for global launch marketing services for new kids health drink</w:t>
      </w:r>
    </w:p>
    <w:p>
      <w:pPr>
        <w:spacing w:after="160"/>
      </w:pPr>
      <w:r>
        <w:rPr>
          <w:rFonts w:ascii="Helvetica" w:hAnsi="Helvetica" w:cs="Helvetica"/>
          <w:sz w:val="37"/>
          <w:sz-cs w:val="37"/>
          <w:b/>
          <w:spacing w:val="0"/>
        </w:rPr>
        <w:t xml:space="preserve">Executive Summary</w:t>
      </w:r>
    </w:p>
    <w:p>
      <w:pPr>
        <w:spacing w:after="160"/>
      </w:pPr>
      <w:r>
        <w:rPr>
          <w:rFonts w:ascii="Helvetica" w:hAnsi="Helvetica" w:cs="Helvetica"/>
          <w:sz w:val="29"/>
          <w:sz-cs w:val="29"/>
          <w:spacing w:val="0"/>
        </w:rPr>
        <w:t xml:space="preserve">This response covers the archived generated questionnaire, the requested service line items, and the commercial pricing schedule expected in the RFQ package.</w:t>
      </w:r>
    </w:p>
    <w:p>
      <w:pPr>
        <w:spacing w:after="160"/>
      </w:pPr>
      <w:r>
        <w:rPr>
          <w:rFonts w:ascii="Helvetica" w:hAnsi="Helvetica" w:cs="Helvetica"/>
          <w:sz w:val="37"/>
          <w:sz-cs w:val="37"/>
          <w:b/>
          <w:spacing w:val="0"/>
        </w:rPr>
        <w:t xml:space="preserve">Agency Overview</w:t>
      </w:r>
    </w:p>
    <w:p>
      <w:pPr>
        <w:spacing w:after="160"/>
      </w:pPr>
      <w:r>
        <w:rPr>
          <w:rFonts w:ascii="Helvetica" w:hAnsi="Helvetica" w:cs="Helvetica"/>
          <w:sz w:val="29"/>
          <w:sz-cs w:val="29"/>
          <w:spacing w:val="0"/>
        </w:rPr>
        <w:t xml:space="preserve">SparkBridge Global is an integrated launch partner combining brand strategy, creative development, production management, social activation, and launch PMO support across consumer health categories. The team proposed for this RFQ would be led from our global launch practice with embedded compliance and production specialists, and the submission intentionally covers all eight requested line items in one coordinated scope.</w:t>
      </w:r>
    </w:p>
    <w:p>
      <w:pPr>
        <w:spacing w:after="160"/>
      </w:pPr>
      <w:r>
        <w:rPr>
          <w:rFonts w:ascii="Helvetica" w:hAnsi="Helvetica" w:cs="Helvetica"/>
          <w:sz w:val="37"/>
          <w:sz-cs w:val="37"/>
          <w:b/>
          <w:spacing w:val="0"/>
        </w:rPr>
        <w:t xml:space="preserve">Strategic Point of View</w:t>
      </w:r>
    </w:p>
    <w:p>
      <w:pPr>
        <w:spacing w:after="160"/>
      </w:pPr>
      <w:r>
        <w:rPr>
          <w:rFonts w:ascii="Helvetica" w:hAnsi="Helvetica" w:cs="Helvetica"/>
          <w:sz w:val="29"/>
          <w:sz-cs w:val="29"/>
          <w:spacing w:val="0"/>
        </w:rPr>
        <w:t xml:space="preserve">Our point of view is that the strongest kids-health launch combines caregiver trust, disciplined claims-safe messaging, and one adaptable master idea that can travel cleanly from flagship film into social and paid activation.</w:t>
      </w:r>
    </w:p>
    <w:p>
      <w:pPr>
        <w:spacing w:after="160"/>
      </w:pPr>
      <w:r>
        <w:rPr>
          <w:rFonts w:ascii="Helvetica" w:hAnsi="Helvetica" w:cs="Helvetica"/>
          <w:sz w:val="37"/>
          <w:sz-cs w:val="37"/>
          <w:b/>
          <w:spacing w:val="0"/>
        </w:rPr>
        <w:t xml:space="preserve">Selected Relevant Work</w:t>
      </w:r>
    </w:p>
    <w:p>
      <w:pPr>
        <w:spacing w:after="160"/>
      </w:pPr>
      <w:r>
        <w:rPr>
          <w:rFonts w:ascii="Helvetica" w:hAnsi="Helvetica" w:cs="Helvetica"/>
          <w:sz w:val="29"/>
          <w:sz-cs w:val="29"/>
          <w:spacing w:val="0"/>
        </w:rPr>
        <w:t xml:space="preserve">- Global nutrition beverage relaunch across 14 markets with one master film and modular social system.</w:t>
      </w:r>
    </w:p>
    <w:p>
      <w:pPr>
        <w:spacing w:after="160"/>
      </w:pPr>
      <w:r>
        <w:rPr>
          <w:rFonts w:ascii="Helvetica" w:hAnsi="Helvetica" w:cs="Helvetica"/>
          <w:sz w:val="29"/>
          <w:sz-cs w:val="29"/>
          <w:spacing w:val="0"/>
        </w:rPr>
        <w:t xml:space="preserve">- Family wellness campaign requiring integrated legal and claims review across TV, digital, and shopper assets.</w:t>
      </w:r>
    </w:p>
    <w:p>
      <w:pPr>
        <w:spacing w:after="160"/>
      </w:pPr>
      <w:r>
        <w:rPr>
          <w:rFonts w:ascii="Helvetica" w:hAnsi="Helvetica" w:cs="Helvetica"/>
          <w:sz w:val="37"/>
          <w:sz-cs w:val="37"/>
          <w:b/>
          <w:spacing w:val="0"/>
        </w:rPr>
        <w:t xml:space="preserve">Questionnaire Responses</w:t>
      </w:r>
    </w:p>
    <w:p>
      <w:pPr>
        <w:spacing w:after="120"/>
      </w:pPr>
      <w:r>
        <w:rPr>
          <w:rFonts w:ascii="Helvetica" w:hAnsi="Helvetica" w:cs="Helvetica"/>
          <w:sz w:val="30"/>
          <w:sz-cs w:val="30"/>
          <w:b/>
          <w:spacing w:val="0"/>
        </w:rPr>
        <w:t xml:space="preserve">q_cr_mac_1</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Confirm whether your agency can support child-directed advertising for this launch. Answer Yes or No and identify the in-house team or partner capability that will perform this work.</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Yes. Support will be provided by our Kids Marketing Compliance Cell working alongside the global creative and channel leads.</w:t>
      </w:r>
    </w:p>
    <w:p>
      <w:pPr>
        <w:spacing w:after="120"/>
      </w:pPr>
      <w:r>
        <w:rPr>
          <w:rFonts w:ascii="Helvetica" w:hAnsi="Helvetica" w:cs="Helvetica"/>
          <w:sz w:val="30"/>
          <w:sz-cs w:val="30"/>
          <w:b/>
          <w:spacing w:val="0"/>
        </w:rPr>
        <w:t xml:space="preserve">q_cr_mac_2</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Confirm whether your agency can support claims review for launch assets and product-related claims. Answer Yes or No and identify the in-house team or partner capability that will perform this work.</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Yes. Claims review support will be provided by our in-house Health Claims and Regulatory Practice with escalation to market counsel where needed.</w:t>
      </w:r>
    </w:p>
    <w:p>
      <w:pPr>
        <w:spacing w:after="120"/>
      </w:pPr>
      <w:r>
        <w:rPr>
          <w:rFonts w:ascii="Helvetica" w:hAnsi="Helvetica" w:cs="Helvetica"/>
          <w:sz w:val="30"/>
          <w:sz-cs w:val="30"/>
          <w:b/>
          <w:spacing w:val="0"/>
        </w:rPr>
        <w:t xml:space="preserve">q_cr_mac_3</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Provide the full name, role title, and email address of the named engagement lead who will own this launch program.</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Sarah Lin, Global Launch Director, sarah.lin@sparkbridgeglobal.com. Sarah would own executive delivery, decision coordination, and buyer-facing accountability across all workstreams.</w:t>
      </w:r>
    </w:p>
    <w:p>
      <w:pPr>
        <w:spacing w:after="120"/>
      </w:pPr>
      <w:r>
        <w:rPr>
          <w:rFonts w:ascii="Helvetica" w:hAnsi="Helvetica" w:cs="Helvetica"/>
          <w:sz w:val="30"/>
          <w:sz-cs w:val="30"/>
          <w:b/>
          <w:spacing w:val="0"/>
        </w:rPr>
        <w:t xml:space="preserve">q_cr_mac_4</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Confirm whether you are providing a launch governance approach. Answer Yes or No and submit a brief overview covering meeting cadence, decision ownership, and escalation.</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Yes. We would run a weekly steering committee, twice-weekly cross-functional operations review, and a 24-hour escalation path for claims, approvals, and production risks. Buyer sign-off would follow a defined approve/revise/escalate route.</w:t>
      </w:r>
    </w:p>
    <w:p>
      <w:pPr>
        <w:spacing w:after="120"/>
      </w:pPr>
      <w:r>
        <w:rPr>
          <w:rFonts w:ascii="Helvetica" w:hAnsi="Helvetica" w:cs="Helvetica"/>
          <w:sz w:val="30"/>
          <w:sz-cs w:val="30"/>
          <w:b/>
          <w:spacing w:val="0"/>
        </w:rPr>
        <w:t xml:space="preserve">q_cr_mac_5</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State whether the buyer launch timelines are achievable. Select one option: Achievable as issued / Achievable with dependencies / Not achievable. Then list the key dependencies or constraints, or state None.</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Achievable as issued. Standard buyer approvals within the agreed turnaround windows will be sufficient; no exceptional dependencies or scope caveats are required beyond normal launch governance inputs.</w:t>
      </w:r>
    </w:p>
    <w:p>
      <w:pPr>
        <w:spacing w:after="120"/>
      </w:pPr>
      <w:r>
        <w:rPr>
          <w:rFonts w:ascii="Helvetica" w:hAnsi="Helvetica" w:cs="Helvetica"/>
          <w:sz w:val="30"/>
          <w:sz-cs w:val="30"/>
          <w:b/>
          <w:spacing w:val="0"/>
        </w:rPr>
        <w:t xml:space="preserve">q_cr_tech_1</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your end-to-end approach for ensuring child-directed marketing safety and claims usage compliance across strategy, creative, TVC, social, and launch approvals. Include where reviews occur, who owns them, how issues are escalated, and how rework is prevented.</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Our compliance operating model places a compliance checkpoint at briefing, creative territory selection, storyboard approval, final script, rough cut, final cut, and market adaptation release. The compliance lead signs off all child-directed claims language, maintains a red-flag register, and can stop release if unresolved issues remain.</w:t>
      </w:r>
    </w:p>
    <w:p>
      <w:pPr>
        <w:spacing w:after="120"/>
      </w:pPr>
      <w:r>
        <w:rPr>
          <w:rFonts w:ascii="Helvetica" w:hAnsi="Helvetica" w:cs="Helvetica"/>
          <w:sz w:val="30"/>
          <w:sz-cs w:val="30"/>
          <w:b/>
          <w:spacing w:val="0"/>
        </w:rPr>
        <w:t xml:space="preserve">q_cr_tech_2</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Provide your proposed launch workplan from kickoff to launch, showing key stages for strategy, creative, TVC, social, compliance review, and program management. Explain how approvals will be managed, what the critical dependencies are, and how schedule risks will be controlled.</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We would protect the launch calendar through parallel workstreams, pre-booked production capacity, a milestone tracker shared with the buyer, and an approval SLA pack. Delays trigger same-day escalation with path-to-green options such as alternate edit routes, pre-cleared modular social assets, and staggered release priorities.</w:t>
      </w:r>
    </w:p>
    <w:p>
      <w:pPr>
        <w:spacing w:after="120"/>
      </w:pPr>
      <w:r>
        <w:rPr>
          <w:rFonts w:ascii="Helvetica" w:hAnsi="Helvetica" w:cs="Helvetica"/>
          <w:sz w:val="30"/>
          <w:sz-cs w:val="30"/>
          <w:b/>
          <w:spacing w:val="0"/>
        </w:rPr>
        <w:t xml:space="preserve">q_cr_tech_3</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your approach to launch strategy and creative development for the new kids health drink, including audience segmentation, messaging framework, creative territory development, and how the master campaign idea will be carried into launch assets.</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Our strategy and creative approach starts with caregiver trust plus kid appeal, then builds one master campaign idea that travels from flagship film into social, retail, and launch governance assets. We would use modular creative components so claims-safe messaging can be adapted quickly without resetting the full approval cycle.</w:t>
      </w:r>
    </w:p>
    <w:p>
      <w:pPr>
        <w:spacing w:after="120"/>
      </w:pPr>
      <w:r>
        <w:rPr>
          <w:rFonts w:ascii="Helvetica" w:hAnsi="Helvetica" w:cs="Helvetica"/>
          <w:sz w:val="30"/>
          <w:sz-cs w:val="30"/>
          <w:b/>
          <w:spacing w:val="0"/>
        </w:rPr>
        <w:t xml:space="preserve">q_cr_tech_4</w:t>
      </w:r>
    </w:p>
    <w:p>
      <w:pPr>
        <w:spacing w:after="160"/>
      </w:pPr>
      <w:r>
        <w:rPr>
          <w:rFonts w:ascii="Helvetica" w:hAnsi="Helvetica" w:cs="Helvetica"/>
          <w:sz w:val="29"/>
          <w:sz-cs w:val="29"/>
          <w:b/>
          <w:spacing w:val="0"/>
        </w:rPr>
        <w:t xml:space="preserve">Question:</w:t>
      </w:r>
      <w:r>
        <w:rPr>
          <w:rFonts w:ascii="Helvetica" w:hAnsi="Helvetica" w:cs="Helvetica"/>
          <w:sz w:val="29"/>
          <w:sz-cs w:val="29"/>
          <w:spacing w:val="0"/>
        </w:rPr>
        <w:t xml:space="preserve"> Describe your approach to TVC development and production for the global launch, covering concept development, pre-production, shoot management, post-production, and delivery of the master film and cutdowns for paid media use.</w:t>
      </w:r>
    </w:p>
    <w:p>
      <w:pPr>
        <w:spacing w:after="160"/>
      </w:pPr>
      <w:r>
        <w:rPr>
          <w:rFonts w:ascii="Helvetica" w:hAnsi="Helvetica" w:cs="Helvetica"/>
          <w:sz w:val="29"/>
          <w:sz-cs w:val="29"/>
          <w:b/>
          <w:spacing w:val="0"/>
        </w:rPr>
        <w:t xml:space="preserve">Response:</w:t>
      </w:r>
      <w:r>
        <w:rPr>
          <w:rFonts w:ascii="Helvetica" w:hAnsi="Helvetica" w:cs="Helvetica"/>
          <w:sz w:val="29"/>
          <w:sz-cs w:val="29"/>
          <w:spacing w:val="0"/>
        </w:rPr>
        <w:t xml:space="preserve"> We would handle TVC development and production through a single film workstream covering creative concept, script and storyboard, production board approval, shoot planning, post-production, and delivery of the master film with launch cutdowns. Production control would sit with one lead producer supported by compliance review before shoot lock, rough-cut approval, and final release.</w:t>
      </w:r>
    </w:p>
    <w:p>
      <w:pPr>
        <w:spacing w:after="160"/>
      </w:pPr>
      <w:r>
        <w:rPr>
          <w:rFonts w:ascii="Helvetica" w:hAnsi="Helvetica" w:cs="Helvetica"/>
          <w:sz w:val="37"/>
          <w:sz-cs w:val="37"/>
          <w:b/>
          <w:spacing w:val="0"/>
        </w:rPr>
        <w:t xml:space="preserve">Commercial Pricing Schedule</w:t>
      </w:r>
    </w:p>
    <w:p>
      <w:pPr/>
      <w:r>
        <w:rPr>
          <w:rFonts w:ascii="Helvetica" w:hAnsi="Helvetica" w:cs="Helvetica"/>
          <w:sz w:val="25"/>
          <w:sz-cs w:val="25"/>
          <w:b/>
          <w:spacing w:val="0"/>
        </w:rPr>
        <w:t xml:space="preserve">Line Item Ref</w:t>
      </w:r>
    </w:p>
    <w:p>
      <w:pPr/>
      <w:r>
        <w:rPr>
          <w:rFonts w:ascii="Helvetica" w:hAnsi="Helvetica" w:cs="Helvetica"/>
          <w:sz w:val="25"/>
          <w:sz-cs w:val="25"/>
          <w:b/>
          <w:spacing w:val="0"/>
        </w:rPr>
        <w:t xml:space="preserve">Line Item Name</w:t>
      </w:r>
    </w:p>
    <w:p>
      <w:pPr/>
      <w:r>
        <w:rPr>
          <w:rFonts w:ascii="Helvetica" w:hAnsi="Helvetica" w:cs="Helvetica"/>
          <w:sz w:val="25"/>
          <w:sz-cs w:val="25"/>
          <w:b/>
          <w:spacing w:val="0"/>
        </w:rPr>
        <w:t xml:space="preserve">Included in Quote</w:t>
      </w:r>
    </w:p>
    <w:p>
      <w:pPr/>
      <w:r>
        <w:rPr>
          <w:rFonts w:ascii="Helvetica" w:hAnsi="Helvetica" w:cs="Helvetica"/>
          <w:sz w:val="25"/>
          <w:sz-cs w:val="25"/>
          <w:b/>
          <w:spacing w:val="0"/>
        </w:rPr>
        <w:t xml:space="preserve">Currency</w:t>
      </w:r>
    </w:p>
    <w:p>
      <w:pPr/>
      <w:r>
        <w:rPr>
          <w:rFonts w:ascii="Helvetica" w:hAnsi="Helvetica" w:cs="Helvetica"/>
          <w:sz w:val="25"/>
          <w:sz-cs w:val="25"/>
          <w:b/>
          <w:spacing w:val="0"/>
        </w:rPr>
        <w:t xml:space="preserve">Total Price</w:t>
      </w:r>
    </w:p>
    <w:p>
      <w:pPr/>
      <w:r>
        <w:rPr>
          <w:rFonts w:ascii="Helvetica" w:hAnsi="Helvetica" w:cs="Helvetica"/>
          <w:sz w:val="25"/>
          <w:sz-cs w:val="25"/>
          <w:b/>
          <w:spacing w:val="0"/>
        </w:rPr>
        <w:t xml:space="preserve">Exclusions or Assumptions</w:t>
      </w:r>
    </w:p>
    <w:p>
      <w:pPr/>
      <w:r>
        <w:rPr>
          <w:rFonts w:ascii="Helvetica" w:hAnsi="Helvetica" w:cs="Helvetica"/>
          <w:sz w:val="25"/>
          <w:sz-cs w:val="25"/>
          <w:spacing w:val="0"/>
        </w:rPr>
        <w:t xml:space="preserve">li_1</w:t>
      </w:r>
    </w:p>
    <w:p>
      <w:pPr/>
      <w:r>
        <w:rPr>
          <w:rFonts w:ascii="Helvetica" w:hAnsi="Helvetica" w:cs="Helvetica"/>
          <w:sz w:val="25"/>
          <w:sz-cs w:val="25"/>
          <w:spacing w:val="0"/>
        </w:rPr>
        <w:t xml:space="preserve">Strategy &amp; Creative Development</w:t>
      </w:r>
    </w:p>
    <w:p>
      <w:pPr/>
      <w:r>
        <w:rPr>
          <w:rFonts w:ascii="Helvetica" w:hAnsi="Helvetica" w:cs="Helvetica"/>
          <w:sz w:val="25"/>
          <w:sz-cs w:val="25"/>
          <w:spacing w:val="0"/>
        </w:rPr>
        <w:t xml:space="preserve">Yes</w:t>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390000</w:t>
      </w:r>
    </w:p>
    <w:p>
      <w:pPr/>
      <w:r>
        <w:rPr>
          <w:rFonts w:ascii="Helvetica" w:hAnsi="Helvetica" w:cs="Helvetica"/>
          <w:sz w:val="25"/>
          <w:sz-cs w:val="25"/>
          <w:spacing w:val="0"/>
        </w:rPr>
        <w:t xml:space="preserve">Includes research synthesis, master messaging, and global toolkit.</w:t>
      </w:r>
    </w:p>
    <w:p>
      <w:pPr/>
      <w:r>
        <w:rPr>
          <w:rFonts w:ascii="Helvetica" w:hAnsi="Helvetica" w:cs="Helvetica"/>
          <w:sz w:val="25"/>
          <w:sz-cs w:val="25"/>
          <w:spacing w:val="0"/>
        </w:rPr>
        <w:t xml:space="preserve">li_2</w:t>
      </w:r>
    </w:p>
    <w:p>
      <w:pPr/>
      <w:r>
        <w:rPr>
          <w:rFonts w:ascii="Helvetica" w:hAnsi="Helvetica" w:cs="Helvetica"/>
          <w:sz w:val="25"/>
          <w:sz-cs w:val="25"/>
          <w:spacing w:val="0"/>
        </w:rPr>
        <w:t xml:space="preserve">TVC Development</w:t>
      </w:r>
    </w:p>
    <w:p>
      <w:pPr/>
      <w:r>
        <w:rPr>
          <w:rFonts w:ascii="Helvetica" w:hAnsi="Helvetica" w:cs="Helvetica"/>
          <w:sz w:val="25"/>
          <w:sz-cs w:val="25"/>
          <w:spacing w:val="0"/>
        </w:rPr>
        <w:t xml:space="preserve">Yes</w:t>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250000</w:t>
      </w:r>
    </w:p>
    <w:p>
      <w:pPr/>
      <w:r>
        <w:rPr>
          <w:rFonts w:ascii="Helvetica" w:hAnsi="Helvetica" w:cs="Helvetica"/>
          <w:sz w:val="25"/>
          <w:sz-cs w:val="25"/>
          <w:spacing w:val="0"/>
        </w:rPr>
        <w:t xml:space="preserve">Includes concepting, script, storyboard, and pre-production creative.</w:t>
      </w:r>
    </w:p>
    <w:p>
      <w:pPr/>
      <w:r>
        <w:rPr>
          <w:rFonts w:ascii="Helvetica" w:hAnsi="Helvetica" w:cs="Helvetica"/>
          <w:sz w:val="25"/>
          <w:sz-cs w:val="25"/>
          <w:spacing w:val="0"/>
        </w:rPr>
        <w:t xml:space="preserve">li_3</w:t>
      </w:r>
    </w:p>
    <w:p>
      <w:pPr/>
      <w:r>
        <w:rPr>
          <w:rFonts w:ascii="Helvetica" w:hAnsi="Helvetica" w:cs="Helvetica"/>
          <w:sz w:val="25"/>
          <w:sz-cs w:val="25"/>
          <w:spacing w:val="0"/>
        </w:rPr>
        <w:t xml:space="preserve">TVC Production</w:t>
      </w:r>
    </w:p>
    <w:p>
      <w:pPr/>
      <w:r>
        <w:rPr>
          <w:rFonts w:ascii="Helvetica" w:hAnsi="Helvetica" w:cs="Helvetica"/>
          <w:sz w:val="25"/>
          <w:sz-cs w:val="25"/>
          <w:spacing w:val="0"/>
        </w:rPr>
        <w:t xml:space="preserve">Yes</w:t>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780000</w:t>
      </w:r>
    </w:p>
    <w:p>
      <w:pPr/>
      <w:r>
        <w:rPr>
          <w:rFonts w:ascii="Helvetica" w:hAnsi="Helvetica" w:cs="Helvetica"/>
          <w:sz w:val="25"/>
          <w:sz-cs w:val="25"/>
          <w:spacing w:val="0"/>
        </w:rPr>
        <w:t xml:space="preserve">Excludes celebrity talent, special music rights, and extraordinary travel.</w:t>
      </w:r>
    </w:p>
    <w:p>
      <w:pPr/>
      <w:r>
        <w:rPr>
          <w:rFonts w:ascii="Helvetica" w:hAnsi="Helvetica" w:cs="Helvetica"/>
          <w:sz w:val="25"/>
          <w:sz-cs w:val="25"/>
          <w:spacing w:val="0"/>
        </w:rPr>
        <w:t xml:space="preserve">li_4</w:t>
      </w:r>
    </w:p>
    <w:p>
      <w:pPr/>
      <w:r>
        <w:rPr>
          <w:rFonts w:ascii="Helvetica" w:hAnsi="Helvetica" w:cs="Helvetica"/>
          <w:sz w:val="25"/>
          <w:sz-cs w:val="25"/>
          <w:spacing w:val="0"/>
        </w:rPr>
        <w:t xml:space="preserve">Social Organic Content</w:t>
      </w:r>
    </w:p>
    <w:p>
      <w:pPr/>
      <w:r>
        <w:rPr>
          <w:rFonts w:ascii="Helvetica" w:hAnsi="Helvetica" w:cs="Helvetica"/>
          <w:sz w:val="25"/>
          <w:sz-cs w:val="25"/>
          <w:spacing w:val="0"/>
        </w:rPr>
        <w:t xml:space="preserve">Yes</w:t>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185000</w:t>
      </w:r>
    </w:p>
    <w:p>
      <w:pPr/>
      <w:r>
        <w:rPr>
          <w:rFonts w:ascii="Helvetica" w:hAnsi="Helvetica" w:cs="Helvetica"/>
          <w:sz w:val="25"/>
          <w:sz-cs w:val="25"/>
          <w:spacing w:val="0"/>
        </w:rPr>
        <w:t xml:space="preserve">Includes monthly calendar plus asset adaptation for the launch window.</w:t>
      </w:r>
    </w:p>
    <w:p>
      <w:pPr/>
      <w:r>
        <w:rPr>
          <w:rFonts w:ascii="Helvetica" w:hAnsi="Helvetica" w:cs="Helvetica"/>
          <w:sz w:val="25"/>
          <w:sz-cs w:val="25"/>
          <w:spacing w:val="0"/>
        </w:rPr>
        <w:t xml:space="preserve">li_5</w:t>
      </w:r>
    </w:p>
    <w:p>
      <w:pPr/>
      <w:r>
        <w:rPr>
          <w:rFonts w:ascii="Helvetica" w:hAnsi="Helvetica" w:cs="Helvetica"/>
          <w:sz w:val="25"/>
          <w:sz-cs w:val="25"/>
          <w:spacing w:val="0"/>
        </w:rPr>
        <w:t xml:space="preserve">Social Paid Media Planning</w:t>
      </w:r>
    </w:p>
    <w:p>
      <w:pPr/>
      <w:r>
        <w:rPr>
          <w:rFonts w:ascii="Helvetica" w:hAnsi="Helvetica" w:cs="Helvetica"/>
          <w:sz w:val="25"/>
          <w:sz-cs w:val="25"/>
          <w:spacing w:val="0"/>
        </w:rPr>
        <w:t xml:space="preserve">Yes</w:t>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155000</w:t>
      </w:r>
    </w:p>
    <w:p>
      <w:pPr/>
      <w:r>
        <w:rPr>
          <w:rFonts w:ascii="Helvetica" w:hAnsi="Helvetica" w:cs="Helvetica"/>
          <w:sz w:val="25"/>
          <w:sz-cs w:val="25"/>
          <w:spacing w:val="0"/>
        </w:rPr>
        <w:t xml:space="preserve">Includes audience, channel, and budget planning.</w:t>
      </w:r>
    </w:p>
    <w:p>
      <w:pPr/>
      <w:r>
        <w:rPr>
          <w:rFonts w:ascii="Helvetica" w:hAnsi="Helvetica" w:cs="Helvetica"/>
          <w:sz w:val="25"/>
          <w:sz-cs w:val="25"/>
          <w:spacing w:val="0"/>
        </w:rPr>
        <w:t xml:space="preserve">li_6</w:t>
      </w:r>
    </w:p>
    <w:p>
      <w:pPr/>
      <w:r>
        <w:rPr>
          <w:rFonts w:ascii="Helvetica" w:hAnsi="Helvetica" w:cs="Helvetica"/>
          <w:sz w:val="25"/>
          <w:sz-cs w:val="25"/>
          <w:spacing w:val="0"/>
        </w:rPr>
        <w:t xml:space="preserve">Social Paid Media Buying &amp; Optimization</w:t>
      </w:r>
    </w:p>
    <w:p>
      <w:pPr/>
      <w:r>
        <w:rPr>
          <w:rFonts w:ascii="Helvetica" w:hAnsi="Helvetica" w:cs="Helvetica"/>
          <w:sz w:val="25"/>
          <w:sz-cs w:val="25"/>
          <w:spacing w:val="0"/>
        </w:rPr>
        <w:t xml:space="preserve">Yes</w:t>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320000</w:t>
      </w:r>
    </w:p>
    <w:p>
      <w:pPr/>
      <w:r>
        <w:rPr>
          <w:rFonts w:ascii="Helvetica" w:hAnsi="Helvetica" w:cs="Helvetica"/>
          <w:sz w:val="25"/>
          <w:sz-cs w:val="25"/>
          <w:spacing w:val="0"/>
        </w:rPr>
        <w:t xml:space="preserve">Platform media spend excluded; fee covers activation and optimization.</w:t>
      </w:r>
    </w:p>
    <w:p>
      <w:pPr/>
      <w:r>
        <w:rPr>
          <w:rFonts w:ascii="Helvetica" w:hAnsi="Helvetica" w:cs="Helvetica"/>
          <w:sz w:val="25"/>
          <w:sz-cs w:val="25"/>
          <w:spacing w:val="0"/>
        </w:rPr>
        <w:t xml:space="preserve">li_7</w:t>
      </w:r>
    </w:p>
    <w:p>
      <w:pPr/>
      <w:r>
        <w:rPr>
          <w:rFonts w:ascii="Helvetica" w:hAnsi="Helvetica" w:cs="Helvetica"/>
          <w:sz w:val="25"/>
          <w:sz-cs w:val="25"/>
          <w:spacing w:val="0"/>
        </w:rPr>
        <w:t xml:space="preserve">Kids Advertising &amp; Claims Compliance Review</w:t>
      </w:r>
    </w:p>
    <w:p>
      <w:pPr/>
      <w:r>
        <w:rPr>
          <w:rFonts w:ascii="Helvetica" w:hAnsi="Helvetica" w:cs="Helvetica"/>
          <w:sz w:val="25"/>
          <w:sz-cs w:val="25"/>
          <w:spacing w:val="0"/>
        </w:rPr>
        <w:t xml:space="preserve">Yes</w:t>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170000</w:t>
      </w:r>
    </w:p>
    <w:p>
      <w:pPr/>
      <w:r>
        <w:rPr>
          <w:rFonts w:ascii="Helvetica" w:hAnsi="Helvetica" w:cs="Helvetica"/>
          <w:sz w:val="25"/>
          <w:sz-cs w:val="25"/>
          <w:spacing w:val="0"/>
        </w:rPr>
        <w:t xml:space="preserve">Includes central review plus market counsel coordination.</w:t>
      </w:r>
    </w:p>
    <w:p>
      <w:pPr/>
      <w:r>
        <w:rPr>
          <w:rFonts w:ascii="Helvetica" w:hAnsi="Helvetica" w:cs="Helvetica"/>
          <w:sz w:val="25"/>
          <w:sz-cs w:val="25"/>
          <w:spacing w:val="0"/>
        </w:rPr>
        <w:t xml:space="preserve">li_8</w:t>
      </w:r>
    </w:p>
    <w:p>
      <w:pPr/>
      <w:r>
        <w:rPr>
          <w:rFonts w:ascii="Helvetica" w:hAnsi="Helvetica" w:cs="Helvetica"/>
          <w:sz w:val="25"/>
          <w:sz-cs w:val="25"/>
          <w:spacing w:val="0"/>
        </w:rPr>
        <w:t xml:space="preserve">Launch Program Management</w:t>
      </w:r>
    </w:p>
    <w:p>
      <w:pPr/>
      <w:r>
        <w:rPr>
          <w:rFonts w:ascii="Helvetica" w:hAnsi="Helvetica" w:cs="Helvetica"/>
          <w:sz w:val="25"/>
          <w:sz-cs w:val="25"/>
          <w:spacing w:val="0"/>
        </w:rPr>
        <w:t xml:space="preserve">Yes</w:t>
      </w:r>
    </w:p>
    <w:p>
      <w:pPr/>
      <w:r>
        <w:rPr>
          <w:rFonts w:ascii="Helvetica" w:hAnsi="Helvetica" w:cs="Helvetica"/>
          <w:sz w:val="25"/>
          <w:sz-cs w:val="25"/>
          <w:spacing w:val="0"/>
        </w:rPr>
        <w:t xml:space="preserve">USD</w:t>
      </w:r>
    </w:p>
    <w:p>
      <w:pPr/>
      <w:r>
        <w:rPr>
          <w:rFonts w:ascii="Helvetica" w:hAnsi="Helvetica" w:cs="Helvetica"/>
          <w:sz w:val="25"/>
          <w:sz-cs w:val="25"/>
          <w:spacing w:val="0"/>
        </w:rPr>
        <w:t xml:space="preserve">235000</w:t>
      </w:r>
    </w:p>
    <w:p>
      <w:pPr/>
      <w:r>
        <w:rPr>
          <w:rFonts w:ascii="Helvetica" w:hAnsi="Helvetica" w:cs="Helvetica"/>
          <w:sz w:val="25"/>
          <w:sz-cs w:val="25"/>
          <w:spacing w:val="0"/>
        </w:rPr>
        <w:t xml:space="preserve">Includes program office, reporting, and master launch governance.</w:t>
      </w:r>
    </w:p>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

<file path=docProps/meta.xml><?xml version="1.0" encoding="utf-8"?>
<meta xmlns="http://schemas.apple.com/cocoa/2006/metadata">
  <generator>CocoaOOXMLWriter/2575.7</generator>
</meta>
</file>