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8"/>
          <w:sz-cs w:val="48"/>
          <w:b/>
          <w:spacing w:val="0"/>
        </w:rPr>
        <w:t xml:space="preserve">SparkBridge Global Submission</w:t>
      </w:r>
    </w:p>
    <w:p>
      <w:pPr>
        <w:spacing w:after="160"/>
      </w:pPr>
      <w:r>
        <w:rPr>
          <w:rFonts w:ascii="Helvetica" w:hAnsi="Helvetica" w:cs="Helvetica"/>
          <w:sz w:val="29"/>
          <w:sz-cs w:val="29"/>
          <w:spacing w:val="0"/>
        </w:rPr>
        <w:t xml:space="preserve">Prepared by: SparkBridge Global Launch Practice | Contact: Sarah Lin | Currency: USD</w:t>
      </w:r>
    </w:p>
    <w:p>
      <w:pPr>
        <w:spacing w:after="160"/>
      </w:pPr>
      <w:r>
        <w:rPr>
          <w:rFonts w:ascii="Helvetica" w:hAnsi="Helvetica" w:cs="Helvetica"/>
          <w:sz w:val="29"/>
          <w:sz-cs w:val="29"/>
          <w:spacing w:val="0"/>
        </w:rPr>
        <w:t xml:space="preserve">RFQ Reference: RFQ-MKT-KIDS-GL-2026-001 - RFQ for global launch marketing services for new kids health drink</w:t>
      </w:r>
    </w:p>
    <w:p>
      <w:pPr>
        <w:spacing w:after="160"/>
      </w:pPr>
      <w:r>
        <w:rPr>
          <w:rFonts w:ascii="Helvetica" w:hAnsi="Helvetica" w:cs="Helvetica"/>
          <w:sz w:val="37"/>
          <w:sz-cs w:val="37"/>
          <w:b/>
          <w:spacing w:val="0"/>
        </w:rPr>
        <w:t xml:space="preserve">Executive Note</w:t>
      </w:r>
    </w:p>
    <w:p>
      <w:pPr>
        <w:spacing w:after="160"/>
      </w:pPr>
      <w:r>
        <w:rPr>
          <w:rFonts w:ascii="Helvetica" w:hAnsi="Helvetica" w:cs="Helvetica"/>
          <w:sz w:val="29"/>
          <w:sz-cs w:val="29"/>
          <w:spacing w:val="0"/>
        </w:rPr>
        <w:t xml:space="preserve">This response covers the exact AI-generated questionnaire, the requested line items, and the commercial schedule expectations from the RFQ package.</w:t>
      </w:r>
    </w:p>
    <w:p>
      <w:pPr>
        <w:spacing w:after="160"/>
      </w:pPr>
      <w:r>
        <w:rPr>
          <w:rFonts w:ascii="Helvetica" w:hAnsi="Helvetica" w:cs="Helvetica"/>
          <w:sz w:val="37"/>
          <w:sz-cs w:val="37"/>
          <w:b/>
          <w:spacing w:val="0"/>
        </w:rPr>
        <w:t xml:space="preserve">Questionnaire Responses</w:t>
      </w:r>
    </w:p>
    <w:p>
      <w:pPr>
        <w:spacing w:after="120"/>
      </w:pPr>
      <w:r>
        <w:rPr>
          <w:rFonts w:ascii="Helvetica" w:hAnsi="Helvetica" w:cs="Helvetica"/>
          <w:sz w:val="30"/>
          <w:sz-cs w:val="30"/>
          <w:b/>
          <w:spacing w:val="0"/>
        </w:rPr>
        <w:t xml:space="preserve">q_m1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 can support child-directed advertising for this program. Answer Yes or No, and name the team or function that will provide this support.</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Support will be provided by our Kids Marketing Compliance Cell working alongside the global creative and channel leads.</w:t>
      </w:r>
    </w:p>
    <w:p>
      <w:pPr>
        <w:spacing w:after="120"/>
      </w:pPr>
      <w:r>
        <w:rPr>
          <w:rFonts w:ascii="Helvetica" w:hAnsi="Helvetica" w:cs="Helvetica"/>
          <w:sz w:val="30"/>
          <w:sz-cs w:val="30"/>
          <w:b/>
          <w:spacing w:val="0"/>
        </w:rPr>
        <w:t xml:space="preserve">q_m2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 can support claims review for this program. Answer Yes or No, and name the team or function that will provide this support.</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Claims review support will be provided by our in-house Health Claims and Regulatory Practice with escalation to market counsel where needed.</w:t>
      </w:r>
    </w:p>
    <w:p>
      <w:pPr>
        <w:spacing w:after="120"/>
      </w:pPr>
      <w:r>
        <w:rPr>
          <w:rFonts w:ascii="Helvetica" w:hAnsi="Helvetica" w:cs="Helvetica"/>
          <w:sz w:val="30"/>
          <w:sz-cs w:val="30"/>
          <w:b/>
          <w:spacing w:val="0"/>
        </w:rPr>
        <w:t xml:space="preserve">q_m3</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the full name, title, and accountable role of the engagement lead who would be responsible for this RFQ.</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Sarah Lin, Global Launch Director. Sarah would own executive delivery, decision coordination, and buyer-facing accountability across all workstreams.</w:t>
      </w:r>
    </w:p>
    <w:p>
      <w:pPr>
        <w:spacing w:after="120"/>
      </w:pPr>
      <w:r>
        <w:rPr>
          <w:rFonts w:ascii="Helvetica" w:hAnsi="Helvetica" w:cs="Helvetica"/>
          <w:sz w:val="30"/>
          <w:sz-cs w:val="30"/>
          <w:b/>
          <w:spacing w:val="0"/>
        </w:rPr>
        <w:t xml:space="preserve">q_m4</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your baseline launch governance approach, including the meeting cadence, approval path, and escalation route you would use for this engagement.</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We would run a weekly steering committee, twice-weekly cross-functional operations review, and a 24-hour escalation path for claims, approvals, and production risks. Buyer sign-off would follow a defined approve/revise/escalate route.</w:t>
      </w:r>
    </w:p>
    <w:p>
      <w:pPr>
        <w:spacing w:after="120"/>
      </w:pPr>
      <w:r>
        <w:rPr>
          <w:rFonts w:ascii="Helvetica" w:hAnsi="Helvetica" w:cs="Helvetica"/>
          <w:sz w:val="30"/>
          <w:sz-cs w:val="30"/>
          <w:b/>
          <w:spacing w:val="0"/>
        </w:rPr>
        <w:t xml:space="preserve">q_m5</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State whether the launch timelines in this RFQ are achievable for your proposed delivery model. Select one: Achievable or Not achievable.</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Achievable.</w:t>
      </w:r>
    </w:p>
    <w:p>
      <w:pPr>
        <w:spacing w:after="120"/>
      </w:pPr>
      <w:r>
        <w:rPr>
          <w:rFonts w:ascii="Helvetica" w:hAnsi="Helvetica" w:cs="Helvetica"/>
          <w:sz w:val="30"/>
          <w:sz-cs w:val="30"/>
          <w:b/>
          <w:spacing w:val="0"/>
        </w:rPr>
        <w:t xml:space="preserve">q_m6</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List the key dependencies, buyer inputs, or approval assumptions that sit behind your stated launch timeline position.</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Key dependencies are final claims matrix approval by 14 May, buyer response windows within 48 hours, product sample access for production planning, and timely market adaptation inputs from regional brand teams.</w:t>
      </w:r>
    </w:p>
    <w:p>
      <w:pPr>
        <w:spacing w:after="120"/>
      </w:pPr>
      <w:r>
        <w:rPr>
          <w:rFonts w:ascii="Helvetica" w:hAnsi="Helvetica" w:cs="Helvetica"/>
          <w:sz w:val="30"/>
          <w:sz-cs w:val="30"/>
          <w:b/>
          <w:spacing w:val="0"/>
        </w:rPr>
        <w:t xml:space="preserve">q_t1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operating model for managing child-directed advertising and claims compliance across strategy, creative, TVC, social, media activation, and final launch approvals. Cover review checkpoints, decision ownership, and escalation handling.</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compliance operating model places a compliance checkpoint at briefing, creative territory selection, storyboard approval, final script, rough cut, final cut, and market adaptation release. The compliance lead signs off all child-directed claims language, maintains a red-flag register, and can stop release if unresolved issues remain.</w:t>
      </w:r>
    </w:p>
    <w:p>
      <w:pPr>
        <w:spacing w:after="120"/>
      </w:pPr>
      <w:r>
        <w:rPr>
          <w:rFonts w:ascii="Helvetica" w:hAnsi="Helvetica" w:cs="Helvetica"/>
          <w:sz w:val="30"/>
          <w:sz-cs w:val="30"/>
          <w:b/>
          <w:spacing w:val="0"/>
        </w:rPr>
        <w:t xml:space="preserve">q_t2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how you would manage approvals, dependencies, and critical path activities so that the launch calendar can be met. Include turnaround assumptions, delay management, and how you would protect key milestones.</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We would protect the launch calendar through parallel workstreams, pre-booked production capacity, a milestone tracker shared with the buyer, and an approval SLA pack. Delays trigger same-day escalation with path-to-green options such as alternate edit routes, pre-cleared modular social assets, and staggered release priorities.</w:t>
      </w:r>
    </w:p>
    <w:p>
      <w:pPr>
        <w:spacing w:after="160"/>
      </w:pPr>
      <w:r>
        <w:rPr>
          <w:rFonts w:ascii="Helvetica" w:hAnsi="Helvetica" w:cs="Helvetica"/>
          <w:sz w:val="37"/>
          <w:sz-cs w:val="37"/>
          <w:b/>
          <w:spacing w:val="0"/>
        </w:rPr>
        <w:t xml:space="preserve">Additional Strategy and Creative Response</w:t>
      </w:r>
    </w:p>
    <w:p>
      <w:pPr>
        <w:spacing w:after="160"/>
      </w:pPr>
      <w:r>
        <w:rPr>
          <w:rFonts w:ascii="Helvetica" w:hAnsi="Helvetica" w:cs="Helvetica"/>
          <w:sz w:val="29"/>
          <w:sz-cs w:val="29"/>
          <w:spacing w:val="0"/>
        </w:rPr>
        <w:t xml:space="preserve">Our strategy and creative approach starts with caregiver trust plus kid appeal, then builds one master campaign idea that travels from flagship film into social, retail, and launch governance assets. We would use modular creative components so claims-safe messaging can be adapted quickly without resetting the full approval cycle.</w:t>
      </w:r>
    </w:p>
    <w:p>
      <w:pPr>
        <w:spacing w:after="160"/>
      </w:pPr>
      <w:r>
        <w:rPr>
          <w:rFonts w:ascii="Helvetica" w:hAnsi="Helvetica" w:cs="Helvetica"/>
          <w:sz w:val="37"/>
          <w:sz-cs w:val="37"/>
          <w:b/>
          <w:spacing w:val="0"/>
        </w:rPr>
        <w:t xml:space="preserve">Commercial Pricing Schedule</w:t>
      </w:r>
    </w:p>
    <w:p>
      <w:pPr/>
      <w:r>
        <w:rPr>
          <w:rFonts w:ascii="Helvetica" w:hAnsi="Helvetica" w:cs="Helvetica"/>
          <w:sz w:val="25"/>
          <w:sz-cs w:val="25"/>
          <w:b/>
          <w:spacing w:val="0"/>
        </w:rPr>
        <w:t xml:space="preserve">Line Item Ref</w:t>
      </w:r>
    </w:p>
    <w:p>
      <w:pPr/>
      <w:r>
        <w:rPr>
          <w:rFonts w:ascii="Helvetica" w:hAnsi="Helvetica" w:cs="Helvetica"/>
          <w:sz w:val="25"/>
          <w:sz-cs w:val="25"/>
          <w:b/>
          <w:spacing w:val="0"/>
        </w:rPr>
        <w:t xml:space="preserve">Line Item Name</w:t>
      </w:r>
    </w:p>
    <w:p>
      <w:pPr/>
      <w:r>
        <w:rPr>
          <w:rFonts w:ascii="Helvetica" w:hAnsi="Helvetica" w:cs="Helvetica"/>
          <w:sz w:val="25"/>
          <w:sz-cs w:val="25"/>
          <w:b/>
          <w:spacing w:val="0"/>
        </w:rPr>
        <w:t xml:space="preserve">Pricing Treatment</w:t>
      </w:r>
    </w:p>
    <w:p>
      <w:pPr/>
      <w:r>
        <w:rPr>
          <w:rFonts w:ascii="Helvetica" w:hAnsi="Helvetica" w:cs="Helvetica"/>
          <w:sz w:val="25"/>
          <w:sz-cs w:val="25"/>
          <w:b/>
          <w:spacing w:val="0"/>
        </w:rPr>
        <w:t xml:space="preserve">Quoted Price</w:t>
      </w:r>
    </w:p>
    <w:p>
      <w:pPr/>
      <w:r>
        <w:rPr>
          <w:rFonts w:ascii="Helvetica" w:hAnsi="Helvetica" w:cs="Helvetica"/>
          <w:sz w:val="25"/>
          <w:sz-cs w:val="25"/>
          <w:b/>
          <w:spacing w:val="0"/>
        </w:rPr>
        <w:t xml:space="preserve">Notes</w:t>
      </w:r>
    </w:p>
    <w:p>
      <w:pPr/>
      <w:r>
        <w:rPr>
          <w:rFonts w:ascii="Helvetica" w:hAnsi="Helvetica" w:cs="Helvetica"/>
          <w:sz w:val="25"/>
          <w:sz-cs w:val="25"/>
          <w:spacing w:val="0"/>
        </w:rPr>
        <w:t xml:space="preserve">li_1</w:t>
      </w:r>
    </w:p>
    <w:p>
      <w:pPr/>
      <w:r>
        <w:rPr>
          <w:rFonts w:ascii="Helvetica" w:hAnsi="Helvetica" w:cs="Helvetica"/>
          <w:sz w:val="25"/>
          <w:sz-cs w:val="25"/>
          <w:spacing w:val="0"/>
        </w:rPr>
        <w:t xml:space="preserve">Strategy &amp; Creative Development</w:t>
      </w:r>
    </w:p>
    <w:p>
      <w:pPr/>
      <w:r>
        <w:rPr>
          <w:rFonts w:ascii="Helvetica" w:hAnsi="Helvetica" w:cs="Helvetica"/>
          <w:sz w:val="25"/>
          <w:sz-cs w:val="25"/>
          <w:spacing w:val="0"/>
        </w:rPr>
        <w:t xml:space="preserve">Standalone</w:t>
      </w:r>
    </w:p>
    <w:p>
      <w:pPr/>
      <w:r>
        <w:rPr>
          <w:rFonts w:ascii="Helvetica" w:hAnsi="Helvetica" w:cs="Helvetica"/>
          <w:sz w:val="25"/>
          <w:sz-cs w:val="25"/>
          <w:spacing w:val="0"/>
        </w:rPr>
        <w:t xml:space="preserve">USD 420,000</w:t>
      </w:r>
    </w:p>
    <w:p>
      <w:pPr/>
      <w:r>
        <w:rPr>
          <w:rFonts w:ascii="Helvetica" w:hAnsi="Helvetica" w:cs="Helvetica"/>
          <w:sz w:val="25"/>
          <w:sz-cs w:val="25"/>
          <w:spacing w:val="0"/>
        </w:rPr>
        <w:t xml:space="preserve">Includes research synthesis, master messaging, and global toolkit.</w:t>
      </w:r>
    </w:p>
    <w:p>
      <w:pPr/>
      <w:r>
        <w:rPr>
          <w:rFonts w:ascii="Helvetica" w:hAnsi="Helvetica" w:cs="Helvetica"/>
          <w:sz w:val="25"/>
          <w:sz-cs w:val="25"/>
          <w:spacing w:val="0"/>
        </w:rPr>
        <w:t xml:space="preserve">li_2</w:t>
      </w:r>
    </w:p>
    <w:p>
      <w:pPr/>
      <w:r>
        <w:rPr>
          <w:rFonts w:ascii="Helvetica" w:hAnsi="Helvetica" w:cs="Helvetica"/>
          <w:sz w:val="25"/>
          <w:sz-cs w:val="25"/>
          <w:spacing w:val="0"/>
        </w:rPr>
        <w:t xml:space="preserve">TVC Development</w:t>
      </w:r>
    </w:p>
    <w:p>
      <w:pPr/>
      <w:r>
        <w:rPr>
          <w:rFonts w:ascii="Helvetica" w:hAnsi="Helvetica" w:cs="Helvetica"/>
          <w:sz w:val="25"/>
          <w:sz-cs w:val="25"/>
          <w:spacing w:val="0"/>
        </w:rPr>
        <w:t xml:space="preserve">Standalone</w:t>
      </w:r>
    </w:p>
    <w:p>
      <w:pPr/>
      <w:r>
        <w:rPr>
          <w:rFonts w:ascii="Helvetica" w:hAnsi="Helvetica" w:cs="Helvetica"/>
          <w:sz w:val="25"/>
          <w:sz-cs w:val="25"/>
          <w:spacing w:val="0"/>
        </w:rPr>
        <w:t xml:space="preserve">USD 280,000</w:t>
      </w:r>
    </w:p>
    <w:p>
      <w:pPr/>
      <w:r>
        <w:rPr>
          <w:rFonts w:ascii="Helvetica" w:hAnsi="Helvetica" w:cs="Helvetica"/>
          <w:sz w:val="25"/>
          <w:sz-cs w:val="25"/>
          <w:spacing w:val="0"/>
        </w:rPr>
        <w:t xml:space="preserve">Includes concepting, script, storyboard, and pre-production creative.</w:t>
      </w:r>
    </w:p>
    <w:p>
      <w:pPr/>
      <w:r>
        <w:rPr>
          <w:rFonts w:ascii="Helvetica" w:hAnsi="Helvetica" w:cs="Helvetica"/>
          <w:sz w:val="25"/>
          <w:sz-cs w:val="25"/>
          <w:spacing w:val="0"/>
        </w:rPr>
        <w:t xml:space="preserve">li_3</w:t>
      </w:r>
    </w:p>
    <w:p>
      <w:pPr/>
      <w:r>
        <w:rPr>
          <w:rFonts w:ascii="Helvetica" w:hAnsi="Helvetica" w:cs="Helvetica"/>
          <w:sz w:val="25"/>
          <w:sz-cs w:val="25"/>
          <w:spacing w:val="0"/>
        </w:rPr>
        <w:t xml:space="preserve">TVC Production</w:t>
      </w:r>
    </w:p>
    <w:p>
      <w:pPr/>
      <w:r>
        <w:rPr>
          <w:rFonts w:ascii="Helvetica" w:hAnsi="Helvetica" w:cs="Helvetica"/>
          <w:sz w:val="25"/>
          <w:sz-cs w:val="25"/>
          <w:spacing w:val="0"/>
        </w:rPr>
        <w:t xml:space="preserve">Standalone</w:t>
      </w:r>
    </w:p>
    <w:p>
      <w:pPr/>
      <w:r>
        <w:rPr>
          <w:rFonts w:ascii="Helvetica" w:hAnsi="Helvetica" w:cs="Helvetica"/>
          <w:sz w:val="25"/>
          <w:sz-cs w:val="25"/>
          <w:spacing w:val="0"/>
        </w:rPr>
        <w:t xml:space="preserve">USD 860,000</w:t>
      </w:r>
    </w:p>
    <w:p>
      <w:pPr/>
      <w:r>
        <w:rPr>
          <w:rFonts w:ascii="Helvetica" w:hAnsi="Helvetica" w:cs="Helvetica"/>
          <w:sz w:val="25"/>
          <w:sz-cs w:val="25"/>
          <w:spacing w:val="0"/>
        </w:rPr>
        <w:t xml:space="preserve">Includes shoot, edit, sound mix, color, and standard cutdowns.</w:t>
      </w:r>
    </w:p>
    <w:p>
      <w:pPr/>
      <w:r>
        <w:rPr>
          <w:rFonts w:ascii="Helvetica" w:hAnsi="Helvetica" w:cs="Helvetica"/>
          <w:sz w:val="25"/>
          <w:sz-cs w:val="25"/>
          <w:spacing w:val="0"/>
        </w:rPr>
        <w:t xml:space="preserve">li_4</w:t>
      </w:r>
    </w:p>
    <w:p>
      <w:pPr/>
      <w:r>
        <w:rPr>
          <w:rFonts w:ascii="Helvetica" w:hAnsi="Helvetica" w:cs="Helvetica"/>
          <w:sz w:val="25"/>
          <w:sz-cs w:val="25"/>
          <w:spacing w:val="0"/>
        </w:rPr>
        <w:t xml:space="preserve">Social Organic Content</w:t>
      </w:r>
    </w:p>
    <w:p>
      <w:pPr/>
      <w:r>
        <w:rPr>
          <w:rFonts w:ascii="Helvetica" w:hAnsi="Helvetica" w:cs="Helvetica"/>
          <w:sz w:val="25"/>
          <w:sz-cs w:val="25"/>
          <w:spacing w:val="0"/>
        </w:rPr>
        <w:t xml:space="preserve">Standalone</w:t>
      </w:r>
    </w:p>
    <w:p>
      <w:pPr/>
      <w:r>
        <w:rPr>
          <w:rFonts w:ascii="Helvetica" w:hAnsi="Helvetica" w:cs="Helvetica"/>
          <w:sz w:val="25"/>
          <w:sz-cs w:val="25"/>
          <w:spacing w:val="0"/>
        </w:rPr>
        <w:t xml:space="preserve">USD 220,000</w:t>
      </w:r>
    </w:p>
    <w:p>
      <w:pPr/>
      <w:r>
        <w:rPr>
          <w:rFonts w:ascii="Helvetica" w:hAnsi="Helvetica" w:cs="Helvetica"/>
          <w:sz w:val="25"/>
          <w:sz-cs w:val="25"/>
          <w:spacing w:val="0"/>
        </w:rPr>
        <w:t xml:space="preserve">Monthly calendar plus asset adaptation for launch window.</w:t>
      </w:r>
    </w:p>
    <w:p>
      <w:pPr/>
      <w:r>
        <w:rPr>
          <w:rFonts w:ascii="Helvetica" w:hAnsi="Helvetica" w:cs="Helvetica"/>
          <w:sz w:val="25"/>
          <w:sz-cs w:val="25"/>
          <w:spacing w:val="0"/>
        </w:rPr>
        <w:t xml:space="preserve">li_5</w:t>
      </w:r>
    </w:p>
    <w:p>
      <w:pPr/>
      <w:r>
        <w:rPr>
          <w:rFonts w:ascii="Helvetica" w:hAnsi="Helvetica" w:cs="Helvetica"/>
          <w:sz w:val="25"/>
          <w:sz-cs w:val="25"/>
          <w:spacing w:val="0"/>
        </w:rPr>
        <w:t xml:space="preserve">Social Paid Media Planning</w:t>
      </w:r>
    </w:p>
    <w:p>
      <w:pPr/>
      <w:r>
        <w:rPr>
          <w:rFonts w:ascii="Helvetica" w:hAnsi="Helvetica" w:cs="Helvetica"/>
          <w:sz w:val="25"/>
          <w:sz-cs w:val="25"/>
          <w:spacing w:val="0"/>
        </w:rPr>
        <w:t xml:space="preserve">Standalone</w:t>
      </w:r>
    </w:p>
    <w:p>
      <w:pPr/>
      <w:r>
        <w:rPr>
          <w:rFonts w:ascii="Helvetica" w:hAnsi="Helvetica" w:cs="Helvetica"/>
          <w:sz w:val="25"/>
          <w:sz-cs w:val="25"/>
          <w:spacing w:val="0"/>
        </w:rPr>
        <w:t xml:space="preserve">USD 180,000</w:t>
      </w:r>
    </w:p>
    <w:p>
      <w:pPr/>
      <w:r>
        <w:rPr>
          <w:rFonts w:ascii="Helvetica" w:hAnsi="Helvetica" w:cs="Helvetica"/>
          <w:sz w:val="25"/>
          <w:sz-cs w:val="25"/>
          <w:spacing w:val="0"/>
        </w:rPr>
        <w:t xml:space="preserve">Audience, channel, and budget planning.</w:t>
      </w:r>
    </w:p>
    <w:p>
      <w:pPr/>
      <w:r>
        <w:rPr>
          <w:rFonts w:ascii="Helvetica" w:hAnsi="Helvetica" w:cs="Helvetica"/>
          <w:sz w:val="25"/>
          <w:sz-cs w:val="25"/>
          <w:spacing w:val="0"/>
        </w:rPr>
        <w:t xml:space="preserve">li_6</w:t>
      </w:r>
    </w:p>
    <w:p>
      <w:pPr/>
      <w:r>
        <w:rPr>
          <w:rFonts w:ascii="Helvetica" w:hAnsi="Helvetica" w:cs="Helvetica"/>
          <w:sz w:val="25"/>
          <w:sz-cs w:val="25"/>
          <w:spacing w:val="0"/>
        </w:rPr>
        <w:t xml:space="preserve">Social Paid Media Buying &amp; Optimization</w:t>
      </w:r>
    </w:p>
    <w:p>
      <w:pPr/>
      <w:r>
        <w:rPr>
          <w:rFonts w:ascii="Helvetica" w:hAnsi="Helvetica" w:cs="Helvetica"/>
          <w:sz w:val="25"/>
          <w:sz-cs w:val="25"/>
          <w:spacing w:val="0"/>
        </w:rPr>
        <w:t xml:space="preserve">Standalone</w:t>
      </w:r>
    </w:p>
    <w:p>
      <w:pPr/>
      <w:r>
        <w:rPr>
          <w:rFonts w:ascii="Helvetica" w:hAnsi="Helvetica" w:cs="Helvetica"/>
          <w:sz w:val="25"/>
          <w:sz-cs w:val="25"/>
          <w:spacing w:val="0"/>
        </w:rPr>
        <w:t xml:space="preserve">USD 360,000</w:t>
      </w:r>
    </w:p>
    <w:p>
      <w:pPr/>
      <w:r>
        <w:rPr>
          <w:rFonts w:ascii="Helvetica" w:hAnsi="Helvetica" w:cs="Helvetica"/>
          <w:sz w:val="25"/>
          <w:sz-cs w:val="25"/>
          <w:spacing w:val="0"/>
        </w:rPr>
        <w:t xml:space="preserve">Activation and optimization fees; excludes platform media spend.</w:t>
      </w:r>
    </w:p>
    <w:p>
      <w:pPr/>
      <w:r>
        <w:rPr>
          <w:rFonts w:ascii="Helvetica" w:hAnsi="Helvetica" w:cs="Helvetica"/>
          <w:sz w:val="25"/>
          <w:sz-cs w:val="25"/>
          <w:spacing w:val="0"/>
        </w:rPr>
        <w:t xml:space="preserve">li_7</w:t>
      </w:r>
    </w:p>
    <w:p>
      <w:pPr/>
      <w:r>
        <w:rPr>
          <w:rFonts w:ascii="Helvetica" w:hAnsi="Helvetica" w:cs="Helvetica"/>
          <w:sz w:val="25"/>
          <w:sz-cs w:val="25"/>
          <w:spacing w:val="0"/>
        </w:rPr>
        <w:t xml:space="preserve">Kids Advertising &amp; Claims Compliance Review</w:t>
      </w:r>
    </w:p>
    <w:p>
      <w:pPr/>
      <w:r>
        <w:rPr>
          <w:rFonts w:ascii="Helvetica" w:hAnsi="Helvetica" w:cs="Helvetica"/>
          <w:sz w:val="25"/>
          <w:sz-cs w:val="25"/>
          <w:spacing w:val="0"/>
        </w:rPr>
        <w:t xml:space="preserve">Standalone</w:t>
      </w:r>
    </w:p>
    <w:p>
      <w:pPr/>
      <w:r>
        <w:rPr>
          <w:rFonts w:ascii="Helvetica" w:hAnsi="Helvetica" w:cs="Helvetica"/>
          <w:sz w:val="25"/>
          <w:sz-cs w:val="25"/>
          <w:spacing w:val="0"/>
        </w:rPr>
        <w:t xml:space="preserve">USD 190,000</w:t>
      </w:r>
    </w:p>
    <w:p>
      <w:pPr/>
      <w:r>
        <w:rPr>
          <w:rFonts w:ascii="Helvetica" w:hAnsi="Helvetica" w:cs="Helvetica"/>
          <w:sz w:val="25"/>
          <w:sz-cs w:val="25"/>
          <w:spacing w:val="0"/>
        </w:rPr>
        <w:t xml:space="preserve">Central review plus market counsel coordination.</w:t>
      </w:r>
    </w:p>
    <w:p>
      <w:pPr/>
      <w:r>
        <w:rPr>
          <w:rFonts w:ascii="Helvetica" w:hAnsi="Helvetica" w:cs="Helvetica"/>
          <w:sz w:val="25"/>
          <w:sz-cs w:val="25"/>
          <w:spacing w:val="0"/>
        </w:rPr>
        <w:t xml:space="preserve">li_8</w:t>
      </w:r>
    </w:p>
    <w:p>
      <w:pPr/>
      <w:r>
        <w:rPr>
          <w:rFonts w:ascii="Helvetica" w:hAnsi="Helvetica" w:cs="Helvetica"/>
          <w:sz w:val="25"/>
          <w:sz-cs w:val="25"/>
          <w:spacing w:val="0"/>
        </w:rPr>
        <w:t xml:space="preserve">Launch Program Management</w:t>
      </w:r>
    </w:p>
    <w:p>
      <w:pPr/>
      <w:r>
        <w:rPr>
          <w:rFonts w:ascii="Helvetica" w:hAnsi="Helvetica" w:cs="Helvetica"/>
          <w:sz w:val="25"/>
          <w:sz-cs w:val="25"/>
          <w:spacing w:val="0"/>
        </w:rPr>
        <w:t xml:space="preserve">Standalone</w:t>
      </w:r>
    </w:p>
    <w:p>
      <w:pPr/>
      <w:r>
        <w:rPr>
          <w:rFonts w:ascii="Helvetica" w:hAnsi="Helvetica" w:cs="Helvetica"/>
          <w:sz w:val="25"/>
          <w:sz-cs w:val="25"/>
          <w:spacing w:val="0"/>
        </w:rPr>
        <w:t xml:space="preserve">USD 270,000</w:t>
      </w:r>
    </w:p>
    <w:p>
      <w:pPr/>
      <w:r>
        <w:rPr>
          <w:rFonts w:ascii="Helvetica" w:hAnsi="Helvetica" w:cs="Helvetica"/>
          <w:sz w:val="25"/>
          <w:sz-cs w:val="25"/>
          <w:spacing w:val="0"/>
        </w:rPr>
        <w:t xml:space="preserve">Program office, reporting, and master launch governance.</w:t>
      </w:r>
    </w:p>
    <w:p>
      <w:pPr>
        <w:spacing w:after="160"/>
      </w:pPr>
      <w:r>
        <w:rPr>
          <w:rFonts w:ascii="Helvetica" w:hAnsi="Helvetica" w:cs="Helvetica"/>
          <w:sz w:val="37"/>
          <w:sz-cs w:val="37"/>
          <w:b/>
          <w:spacing w:val="0"/>
        </w:rPr>
        <w:t xml:space="preserve">Exclusions and Assumptions Schedule</w:t>
      </w:r>
    </w:p>
    <w:p>
      <w:pPr/>
      <w:r>
        <w:rPr>
          <w:rFonts w:ascii="Helvetica" w:hAnsi="Helvetica" w:cs="Helvetica"/>
          <w:sz w:val="25"/>
          <w:sz-cs w:val="25"/>
          <w:b/>
          <w:spacing w:val="0"/>
        </w:rPr>
        <w:t xml:space="preserve">Exclusion or Assumption</w:t>
      </w:r>
    </w:p>
    <w:p>
      <w:pPr/>
      <w:r>
        <w:rPr>
          <w:rFonts w:ascii="Helvetica" w:hAnsi="Helvetica" w:cs="Helvetica"/>
          <w:sz w:val="25"/>
          <w:sz-cs w:val="25"/>
          <w:b/>
          <w:spacing w:val="0"/>
        </w:rPr>
        <w:t xml:space="preserve">Affected Line Item</w:t>
      </w:r>
    </w:p>
    <w:p>
      <w:pPr/>
      <w:r>
        <w:rPr>
          <w:rFonts w:ascii="Helvetica" w:hAnsi="Helvetica" w:cs="Helvetica"/>
          <w:sz w:val="25"/>
          <w:sz-cs w:val="25"/>
          <w:b/>
          <w:spacing w:val="0"/>
        </w:rPr>
        <w:t xml:space="preserve">Commercial Impact</w:t>
      </w:r>
    </w:p>
    <w:p>
      <w:pPr/>
      <w:r>
        <w:rPr>
          <w:rFonts w:ascii="Helvetica" w:hAnsi="Helvetica" w:cs="Helvetica"/>
          <w:sz w:val="25"/>
          <w:sz-cs w:val="25"/>
          <w:spacing w:val="0"/>
        </w:rPr>
        <w:t xml:space="preserve">Paid media platform spend is excluded.</w:t>
      </w:r>
    </w:p>
    <w:p>
      <w:pPr/>
      <w:r>
        <w:rPr>
          <w:rFonts w:ascii="Helvetica" w:hAnsi="Helvetica" w:cs="Helvetica"/>
          <w:sz w:val="25"/>
          <w:sz-cs w:val="25"/>
          <w:spacing w:val="0"/>
        </w:rPr>
        <w:t xml:space="preserve">li_5, li_6</w:t>
      </w:r>
    </w:p>
    <w:p>
      <w:pPr/>
      <w:r>
        <w:rPr>
          <w:rFonts w:ascii="Helvetica" w:hAnsi="Helvetica" w:cs="Helvetica"/>
          <w:sz w:val="25"/>
          <w:sz-cs w:val="25"/>
          <w:spacing w:val="0"/>
        </w:rPr>
        <w:t xml:space="preserve">Media budgets are buyer-funded and pass through directly.</w:t>
      </w:r>
    </w:p>
    <w:p>
      <w:pPr/>
      <w:r>
        <w:rPr>
          <w:rFonts w:ascii="Helvetica" w:hAnsi="Helvetica" w:cs="Helvetica"/>
          <w:sz w:val="25"/>
          <w:sz-cs w:val="25"/>
          <w:spacing w:val="0"/>
        </w:rPr>
        <w:t xml:space="preserve">Music talent, celebrity rights, and extraordinary travel are excluded.</w:t>
      </w:r>
    </w:p>
    <w:p>
      <w:pPr/>
      <w:r>
        <w:rPr>
          <w:rFonts w:ascii="Helvetica" w:hAnsi="Helvetica" w:cs="Helvetica"/>
          <w:sz w:val="25"/>
          <w:sz-cs w:val="25"/>
          <w:spacing w:val="0"/>
        </w:rPr>
        <w:t xml:space="preserve">li_3</w:t>
      </w:r>
    </w:p>
    <w:p>
      <w:pPr/>
      <w:r>
        <w:rPr>
          <w:rFonts w:ascii="Helvetica" w:hAnsi="Helvetica" w:cs="Helvetica"/>
          <w:sz w:val="25"/>
          <w:sz-cs w:val="25"/>
          <w:spacing w:val="0"/>
        </w:rPr>
        <w:t xml:space="preserve">Only incurred if buyer chooses premium production options.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