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34" w:rsidRPr="00025001" w:rsidRDefault="00025001">
      <w:pPr>
        <w:rPr>
          <w:sz w:val="32"/>
          <w:szCs w:val="32"/>
        </w:rPr>
      </w:pPr>
      <w:r w:rsidRPr="00025001">
        <w:rPr>
          <w:sz w:val="32"/>
          <w:szCs w:val="32"/>
        </w:rPr>
        <w:t xml:space="preserve">Intermediate Holding company </w:t>
      </w:r>
    </w:p>
    <w:p w:rsidR="00025001" w:rsidRPr="00025001" w:rsidRDefault="00025001">
      <w:pPr>
        <w:rPr>
          <w:sz w:val="32"/>
          <w:szCs w:val="32"/>
        </w:rPr>
      </w:pPr>
    </w:p>
    <w:p w:rsidR="00025001" w:rsidRPr="00025001" w:rsidRDefault="00025001">
      <w:pPr>
        <w:rPr>
          <w:sz w:val="32"/>
          <w:szCs w:val="32"/>
        </w:rPr>
      </w:pPr>
    </w:p>
    <w:p w:rsidR="00025001" w:rsidRPr="00025001" w:rsidRDefault="00025001" w:rsidP="000250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b/>
          <w:color w:val="1A1B1D"/>
          <w:sz w:val="32"/>
          <w:szCs w:val="32"/>
        </w:rPr>
      </w:pPr>
      <w:r w:rsidRPr="00025001">
        <w:rPr>
          <w:rFonts w:cs="Helvetica Neue"/>
          <w:b/>
          <w:color w:val="1A1B1D"/>
          <w:sz w:val="32"/>
          <w:szCs w:val="32"/>
        </w:rPr>
        <w:t>Financial</w:t>
      </w:r>
    </w:p>
    <w:p w:rsidR="00025001" w:rsidRPr="00025001" w:rsidRDefault="00025001" w:rsidP="0002500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Market value risk (interest rate risk, exchange prices, equity prices, commodity prices, etc.)</w:t>
      </w:r>
    </w:p>
    <w:p w:rsidR="00025001" w:rsidRPr="00025001" w:rsidRDefault="00025001" w:rsidP="0002500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Credit risk (downgrade, default, credit spread risk)</w:t>
      </w:r>
    </w:p>
    <w:p w:rsidR="00025001" w:rsidRPr="00025001" w:rsidRDefault="00025001" w:rsidP="0002500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 xml:space="preserve">Liquidity risk </w:t>
      </w:r>
    </w:p>
    <w:p w:rsidR="00025001" w:rsidRPr="00025001" w:rsidRDefault="00025001" w:rsidP="00025001">
      <w:pPr>
        <w:widowControl w:val="0"/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</w:p>
    <w:p w:rsidR="00025001" w:rsidRPr="00025001" w:rsidRDefault="00025001" w:rsidP="00025001">
      <w:pPr>
        <w:widowControl w:val="0"/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</w:p>
    <w:p w:rsidR="00025001" w:rsidRPr="00025001" w:rsidRDefault="00025001" w:rsidP="00025001">
      <w:pPr>
        <w:widowControl w:val="0"/>
        <w:autoSpaceDE w:val="0"/>
        <w:autoSpaceDN w:val="0"/>
        <w:adjustRightInd w:val="0"/>
        <w:rPr>
          <w:rFonts w:cs="Helvetica Neue"/>
          <w:b/>
          <w:color w:val="1A1B1D"/>
          <w:sz w:val="32"/>
          <w:szCs w:val="32"/>
        </w:rPr>
      </w:pPr>
      <w:r w:rsidRPr="00025001">
        <w:rPr>
          <w:rFonts w:cs="Helvetica Neue"/>
          <w:b/>
          <w:color w:val="1A1B1D"/>
          <w:sz w:val="32"/>
          <w:szCs w:val="32"/>
        </w:rPr>
        <w:t>Non-Financial: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Model Risk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Operational Risk (fraud, misconduct, failure of internal controls or audit systems, natural disasters)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Settlement risk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Accounting risk (changes in GAAP/IFRS and comparability issues, managed earnings, etc.)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Regulatory risk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Legal risk (counterparty does not honor a contract)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Tax risk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Sovereign risk (if you are trading EM debt for example) &amp; Political risk</w:t>
      </w:r>
    </w:p>
    <w:p w:rsidR="00025001" w:rsidRPr="00025001" w:rsidRDefault="00025001" w:rsidP="0002500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1A1B1D"/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Performance netting risk</w:t>
      </w:r>
    </w:p>
    <w:p w:rsidR="00025001" w:rsidRPr="00025001" w:rsidRDefault="00025001" w:rsidP="0002500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25001">
        <w:rPr>
          <w:rFonts w:cs="Helvetica Neue"/>
          <w:color w:val="1A1B1D"/>
          <w:sz w:val="32"/>
          <w:szCs w:val="32"/>
        </w:rPr>
        <w:t>Key Man risk</w:t>
      </w: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C2025B" wp14:editId="6FE1310D">
            <wp:extent cx="6515100" cy="5486400"/>
            <wp:effectExtent l="0" t="0" r="12700" b="0"/>
            <wp:docPr id="2" name="Picture 2" descr="Macintosh HD:Users:Archana:Desktop:Screen Shot 2016-03-30 at 5.5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Archana:Desktop:Screen Shot 2016-03-30 at 5.59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</w:p>
    <w:p w:rsidR="00025001" w:rsidRDefault="00025001" w:rsidP="00025001">
      <w:pPr>
        <w:rPr>
          <w:sz w:val="32"/>
          <w:szCs w:val="32"/>
        </w:rPr>
      </w:pPr>
      <w:r>
        <w:rPr>
          <w:sz w:val="32"/>
          <w:szCs w:val="32"/>
        </w:rPr>
        <w:t xml:space="preserve">Understanding of Treasury report </w:t>
      </w:r>
    </w:p>
    <w:p w:rsidR="00025001" w:rsidRDefault="00025001" w:rsidP="00025001">
      <w:pPr>
        <w:rPr>
          <w:sz w:val="32"/>
          <w:szCs w:val="32"/>
        </w:rPr>
      </w:pPr>
    </w:p>
    <w:p w:rsidR="005E6CCC" w:rsidRDefault="005E6CCC" w:rsidP="00025001">
      <w:pPr>
        <w:rPr>
          <w:sz w:val="32"/>
          <w:szCs w:val="32"/>
        </w:rPr>
      </w:pPr>
    </w:p>
    <w:p w:rsidR="005E6CCC" w:rsidRPr="00AF489B" w:rsidRDefault="005E6CCC" w:rsidP="00025001">
      <w:pPr>
        <w:rPr>
          <w:rFonts w:cs="Helvetica Neue"/>
          <w:b/>
          <w:color w:val="1A1B1D"/>
          <w:sz w:val="32"/>
          <w:szCs w:val="32"/>
        </w:rPr>
      </w:pPr>
      <w:r w:rsidRPr="00AF489B">
        <w:rPr>
          <w:rFonts w:cs="Helvetica Neue"/>
          <w:b/>
          <w:color w:val="1A1B1D"/>
          <w:sz w:val="32"/>
          <w:szCs w:val="32"/>
        </w:rPr>
        <w:t>Liquidity Coverage Ratio</w:t>
      </w:r>
    </w:p>
    <w:p w:rsidR="005E6CCC" w:rsidRPr="00AF489B" w:rsidRDefault="005E6CCC" w:rsidP="00025001">
      <w:pPr>
        <w:rPr>
          <w:rFonts w:cs="Helvetica Neue"/>
          <w:color w:val="1A1B1D"/>
          <w:sz w:val="32"/>
          <w:szCs w:val="32"/>
        </w:rPr>
      </w:pPr>
      <w:r w:rsidRPr="00AF489B">
        <w:rPr>
          <w:rFonts w:cs="Helvetica Neue"/>
          <w:color w:val="1A1B1D"/>
          <w:sz w:val="32"/>
          <w:szCs w:val="32"/>
        </w:rPr>
        <w:t>The liquidity coverage ratio (LCR) refers to highly liquid assets held by financial institutions in order to meet short-term obligations. The Liquidity coverage ratio is designed to ensure that financial institutions have the necessary assets on hand to ride out short-term liquidity disruptions.</w:t>
      </w:r>
    </w:p>
    <w:p w:rsidR="005E6CCC" w:rsidRPr="00AF489B" w:rsidRDefault="005E6CCC" w:rsidP="00025001">
      <w:pPr>
        <w:rPr>
          <w:rFonts w:cs="Helvetica Neue"/>
          <w:b/>
          <w:color w:val="1A1B1D"/>
          <w:sz w:val="32"/>
          <w:szCs w:val="32"/>
          <w:highlight w:val="yellow"/>
        </w:rPr>
      </w:pPr>
      <w:r w:rsidRPr="00AF489B">
        <w:rPr>
          <w:rFonts w:cs="Helvetica Neue"/>
          <w:b/>
          <w:color w:val="1A1B1D"/>
          <w:sz w:val="32"/>
          <w:szCs w:val="32"/>
          <w:highlight w:val="yellow"/>
        </w:rPr>
        <w:t>LCR= High-quality Liquid Asset (HQLA) amount</w:t>
      </w:r>
    </w:p>
    <w:p w:rsidR="005E6CCC" w:rsidRPr="00AF489B" w:rsidRDefault="005E6CCC" w:rsidP="00025001">
      <w:pPr>
        <w:rPr>
          <w:rFonts w:cs="Helvetica Neue"/>
          <w:b/>
          <w:color w:val="1A1B1D"/>
          <w:sz w:val="32"/>
          <w:szCs w:val="32"/>
        </w:rPr>
      </w:pPr>
      <w:r w:rsidRPr="00AF489B">
        <w:rPr>
          <w:rFonts w:cs="Helvetica Neue"/>
          <w:b/>
          <w:color w:val="1A1B1D"/>
          <w:sz w:val="32"/>
          <w:szCs w:val="32"/>
          <w:highlight w:val="yellow"/>
        </w:rPr>
        <w:t xml:space="preserve">               Total net cash outflow amount</w:t>
      </w:r>
    </w:p>
    <w:p w:rsidR="005E6CCC" w:rsidRPr="00AF489B" w:rsidRDefault="005E6CCC" w:rsidP="00025001">
      <w:pPr>
        <w:rPr>
          <w:rFonts w:cs="Helvetica Neue"/>
          <w:color w:val="1A1B1D"/>
          <w:sz w:val="32"/>
          <w:szCs w:val="32"/>
        </w:rPr>
      </w:pPr>
    </w:p>
    <w:p w:rsidR="005E6CCC" w:rsidRPr="00AF489B" w:rsidRDefault="005E6CCC" w:rsidP="00025001">
      <w:pPr>
        <w:rPr>
          <w:rFonts w:cs="Helvetica Neue"/>
          <w:color w:val="1A1B1D"/>
          <w:sz w:val="32"/>
          <w:szCs w:val="32"/>
        </w:rPr>
      </w:pPr>
    </w:p>
    <w:p w:rsidR="005E6CCC" w:rsidRPr="00AF489B" w:rsidRDefault="00AF489B" w:rsidP="00025001">
      <w:pPr>
        <w:rPr>
          <w:rFonts w:cs="Helvetica Neue"/>
          <w:color w:val="1A1B1D"/>
          <w:sz w:val="32"/>
          <w:szCs w:val="32"/>
        </w:rPr>
      </w:pPr>
      <w:r w:rsidRPr="00AF489B">
        <w:rPr>
          <w:rFonts w:cs="Helvetica Neue"/>
          <w:b/>
          <w:color w:val="1A1B1D"/>
          <w:sz w:val="32"/>
          <w:szCs w:val="32"/>
        </w:rPr>
        <w:t>The liquidity coverage ratio</w:t>
      </w:r>
      <w:r w:rsidRPr="00AF489B">
        <w:rPr>
          <w:rFonts w:cs="Helvetica Neue"/>
          <w:color w:val="1A1B1D"/>
          <w:sz w:val="32"/>
          <w:szCs w:val="32"/>
        </w:rPr>
        <w:t xml:space="preserve"> (LCR) refers to highly liquid assets held by financial institutions in order to meet short-term obligations. The Liquidity coverage ratio is designed to ensure that financial institutions have the necessary assets on hand to ride out short-term liquidity disruptions. Banks are requi</w:t>
      </w:r>
      <w:r>
        <w:rPr>
          <w:rFonts w:cs="Helvetica Neue"/>
          <w:color w:val="1A1B1D"/>
          <w:sz w:val="32"/>
          <w:szCs w:val="32"/>
        </w:rPr>
        <w:t xml:space="preserve">red to hold an amount of highly </w:t>
      </w:r>
      <w:r w:rsidRPr="00AF489B">
        <w:rPr>
          <w:rFonts w:cs="Helvetica Neue"/>
          <w:color w:val="1A1B1D"/>
          <w:sz w:val="32"/>
          <w:szCs w:val="32"/>
        </w:rPr>
        <w:t xml:space="preserve">liquid assets, such as cash or </w:t>
      </w:r>
      <w:hyperlink r:id="rId9" w:history="1">
        <w:r w:rsidRPr="00AF489B">
          <w:rPr>
            <w:rFonts w:cs="Helvetica Neue"/>
            <w:color w:val="1A1B1D"/>
            <w:sz w:val="32"/>
            <w:szCs w:val="32"/>
          </w:rPr>
          <w:t>Treasury bonds</w:t>
        </w:r>
      </w:hyperlink>
      <w:r w:rsidRPr="00AF489B">
        <w:rPr>
          <w:rFonts w:cs="Helvetica Neue"/>
          <w:color w:val="1A1B1D"/>
          <w:sz w:val="32"/>
          <w:szCs w:val="32"/>
        </w:rPr>
        <w:t xml:space="preserve">, equal to or greater than their </w:t>
      </w:r>
      <w:hyperlink r:id="rId10" w:history="1">
        <w:r w:rsidRPr="00AF489B">
          <w:rPr>
            <w:rFonts w:cs="Helvetica Neue"/>
            <w:color w:val="1A1B1D"/>
            <w:sz w:val="32"/>
            <w:szCs w:val="32"/>
          </w:rPr>
          <w:t>net cash</w:t>
        </w:r>
      </w:hyperlink>
      <w:r w:rsidRPr="00AF489B">
        <w:rPr>
          <w:rFonts w:cs="Helvetica Neue"/>
          <w:color w:val="1A1B1D"/>
          <w:sz w:val="32"/>
          <w:szCs w:val="32"/>
        </w:rPr>
        <w:t> outflow over a 30-day period</w:t>
      </w:r>
    </w:p>
    <w:p w:rsidR="005E6CCC" w:rsidRPr="00AF489B" w:rsidRDefault="005E6CCC" w:rsidP="00025001">
      <w:pPr>
        <w:rPr>
          <w:rFonts w:cs="Helvetica Neue"/>
          <w:color w:val="1A1B1D"/>
          <w:sz w:val="32"/>
          <w:szCs w:val="32"/>
        </w:rPr>
      </w:pPr>
    </w:p>
    <w:p w:rsidR="005E6CCC" w:rsidRPr="00AF489B" w:rsidRDefault="00AF489B" w:rsidP="00025001">
      <w:pPr>
        <w:rPr>
          <w:rFonts w:cs="Helvetica Neue"/>
          <w:b/>
          <w:color w:val="1A1B1D"/>
          <w:sz w:val="32"/>
          <w:szCs w:val="32"/>
        </w:rPr>
      </w:pPr>
      <w:r w:rsidRPr="00AF489B">
        <w:rPr>
          <w:rFonts w:cs="Helvetica Neue"/>
          <w:b/>
          <w:color w:val="1A1B1D"/>
          <w:sz w:val="32"/>
          <w:szCs w:val="32"/>
        </w:rPr>
        <w:t>General Ledger Reconciliation</w:t>
      </w:r>
    </w:p>
    <w:p w:rsidR="00AF489B" w:rsidRDefault="00AF489B" w:rsidP="00025001">
      <w:pPr>
        <w:rPr>
          <w:rFonts w:cs="Helvetica Neue"/>
          <w:color w:val="1A1B1D"/>
          <w:sz w:val="32"/>
          <w:szCs w:val="32"/>
        </w:rPr>
      </w:pPr>
      <w:r w:rsidRPr="00AF489B">
        <w:rPr>
          <w:rFonts w:cs="Helvetica Neue"/>
          <w:color w:val="1A1B1D"/>
          <w:sz w:val="32"/>
          <w:szCs w:val="32"/>
        </w:rPr>
        <w:t>Reconciling the bank account by comparing your bank statement to the General Ledger accounts ensures the account is in balance for the reconciliation period.</w:t>
      </w:r>
    </w:p>
    <w:p w:rsidR="00AF489B" w:rsidRDefault="00AF489B" w:rsidP="00025001">
      <w:pPr>
        <w:rPr>
          <w:rFonts w:cs="Helvetica Neue"/>
          <w:color w:val="1A1B1D"/>
          <w:sz w:val="32"/>
          <w:szCs w:val="32"/>
        </w:rPr>
      </w:pPr>
    </w:p>
    <w:p w:rsidR="00AF489B" w:rsidRPr="00AF489B" w:rsidRDefault="00AF489B" w:rsidP="00025001">
      <w:pPr>
        <w:rPr>
          <w:rFonts w:cs="Helvetica Neue"/>
          <w:color w:val="1A1B1D"/>
          <w:sz w:val="32"/>
          <w:szCs w:val="32"/>
        </w:rPr>
      </w:pPr>
      <w:bookmarkStart w:id="0" w:name="_GoBack"/>
      <w:bookmarkEnd w:id="0"/>
    </w:p>
    <w:sectPr w:rsidR="00AF489B" w:rsidRPr="00AF489B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89B" w:rsidRDefault="00AF489B" w:rsidP="00025001">
      <w:r>
        <w:separator/>
      </w:r>
    </w:p>
  </w:endnote>
  <w:endnote w:type="continuationSeparator" w:id="0">
    <w:p w:rsidR="00AF489B" w:rsidRDefault="00AF489B" w:rsidP="0002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89B" w:rsidRDefault="00AF489B" w:rsidP="00025001">
      <w:r>
        <w:separator/>
      </w:r>
    </w:p>
  </w:footnote>
  <w:footnote w:type="continuationSeparator" w:id="0">
    <w:p w:rsidR="00AF489B" w:rsidRDefault="00AF489B" w:rsidP="0002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C086DCB"/>
    <w:multiLevelType w:val="hybridMultilevel"/>
    <w:tmpl w:val="AD66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E3456"/>
    <w:multiLevelType w:val="hybridMultilevel"/>
    <w:tmpl w:val="FE0E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03B04"/>
    <w:multiLevelType w:val="hybridMultilevel"/>
    <w:tmpl w:val="8B9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01"/>
    <w:rsid w:val="00025001"/>
    <w:rsid w:val="002B6CD3"/>
    <w:rsid w:val="005E6CCC"/>
    <w:rsid w:val="009B0434"/>
    <w:rsid w:val="00AF489B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001"/>
  </w:style>
  <w:style w:type="paragraph" w:styleId="Footer">
    <w:name w:val="footer"/>
    <w:basedOn w:val="Normal"/>
    <w:link w:val="FooterChar"/>
    <w:uiPriority w:val="99"/>
    <w:unhideWhenUsed/>
    <w:rsid w:val="00025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001"/>
  </w:style>
  <w:style w:type="paragraph" w:styleId="BalloonText">
    <w:name w:val="Balloon Text"/>
    <w:basedOn w:val="Normal"/>
    <w:link w:val="BalloonTextChar"/>
    <w:uiPriority w:val="99"/>
    <w:semiHidden/>
    <w:unhideWhenUsed/>
    <w:rsid w:val="00025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5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001"/>
  </w:style>
  <w:style w:type="paragraph" w:styleId="Footer">
    <w:name w:val="footer"/>
    <w:basedOn w:val="Normal"/>
    <w:link w:val="FooterChar"/>
    <w:uiPriority w:val="99"/>
    <w:unhideWhenUsed/>
    <w:rsid w:val="00025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001"/>
  </w:style>
  <w:style w:type="paragraph" w:styleId="BalloonText">
    <w:name w:val="Balloon Text"/>
    <w:basedOn w:val="Normal"/>
    <w:link w:val="BalloonTextChar"/>
    <w:uiPriority w:val="99"/>
    <w:semiHidden/>
    <w:unhideWhenUsed/>
    <w:rsid w:val="00025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investopedia.com/terms/t/treasurybond.asp" TargetMode="External"/><Relationship Id="rId10" Type="http://schemas.openxmlformats.org/officeDocument/2006/relationships/hyperlink" Target="http://www.investopedia.com/terms/n/net-cas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279</Words>
  <Characters>1596</Characters>
  <Application>Microsoft Macintosh Word</Application>
  <DocSecurity>0</DocSecurity>
  <Lines>13</Lines>
  <Paragraphs>3</Paragraphs>
  <ScaleCrop>false</ScaleCrop>
  <Company>Home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1</cp:revision>
  <dcterms:created xsi:type="dcterms:W3CDTF">2016-03-31T01:22:00Z</dcterms:created>
  <dcterms:modified xsi:type="dcterms:W3CDTF">2016-03-31T03:44:00Z</dcterms:modified>
</cp:coreProperties>
</file>