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6B7280"/>
          <w:spacing w:val="40"/>
          <w:sz w:val="24"/>
          <w:szCs w:val="24"/>
        </w:rPr>
        <w:t xml:space="preserve">TEMPO</w:t>
      </w:r>
    </w:p>
    <w:p>
      <w:pPr>
        <w:spacing w:after="200" w:before="200"/>
      </w:pPr>
      <w:r>
        <w:rPr>
          <w:b/>
          <w:bCs/>
          <w:color w:val="0F4C81"/>
          <w:sz w:val="44"/>
          <w:szCs w:val="44"/>
        </w:rPr>
        <w:t xml:space="preserve">Production Readiness — Handover Summary</w:t>
      </w:r>
    </w:p>
    <w:p>
      <w:pPr>
        <w:spacing w:after="140"/>
      </w:pPr>
      <w:r>
        <w:rPr>
          <w:color w:val="6B7280"/>
          <w:sz w:val="21"/>
          <w:szCs w:val="21"/>
        </w:rPr>
        <w:t xml:space="preserve">Prepared for: Delivery Manager</w:t>
      </w:r>
    </w:p>
    <w:p>
      <w:pPr>
        <w:spacing w:after="140"/>
      </w:pPr>
      <w:r>
        <w:rPr>
          <w:color w:val="6B7280"/>
          <w:sz w:val="21"/>
          <w:szCs w:val="21"/>
        </w:rPr>
        <w:t xml:space="preserve">Prepared by: Engineering (Claude Code session)</w:t>
      </w:r>
    </w:p>
    <w:p>
      <w:pPr>
        <w:spacing w:after="140"/>
      </w:pPr>
      <w:r>
        <w:rPr>
          <w:color w:val="6B7280"/>
          <w:sz w:val="21"/>
          <w:szCs w:val="21"/>
        </w:rPr>
        <w:t xml:space="preserve">Source: Tempo_Production_Readiness_Implementation_Specification_v1.1.docx</w:t>
      </w:r>
    </w:p>
    <w:p>
      <w:pPr>
        <w:spacing w:after="140"/>
      </w:pPr>
      <w:r>
        <w:rPr>
          <w:color w:val="6B7280"/>
          <w:sz w:val="21"/>
          <w:szCs w:val="21"/>
        </w:rPr>
        <w:t xml:space="preserve">Repository: archivalg/Tempo, branch main, through commit 54fb4f3</w:t>
      </w:r>
    </w:p>
    <w:p>
      <w:pPr>
        <w:spacing w:after="140"/>
      </w:pPr>
      <w:r>
        <w:rPr>
          <w:color w:val="6B7280"/>
          <w:sz w:val="21"/>
          <w:szCs w:val="21"/>
        </w:rPr>
        <w:t xml:space="preserve">Date: 11 September 2026</w:t>
      </w:r>
    </w:p>
    <w:p>
      <w:pPr>
        <w:pBdr>
          <w:bottom w:val="single" w:color="D9DEE4" w:sz="6" w:space="1"/>
        </w:pBdr>
        <w:spacing w:after="120" w:before="120"/>
      </w:pPr>
      <w:r>
        <w:t xml:space="preserve"/>
      </w:r>
    </w:p>
    <w:p>
      <w:pPr>
        <w:pStyle w:val="Heading2"/>
        <w:spacing w:after="120" w:before="280"/>
      </w:pPr>
      <w:r>
        <w:t xml:space="preserve">Purpose</w:t>
      </w:r>
    </w:p>
    <w:p>
      <w:pPr>
        <w:spacing w:after="140"/>
      </w:pPr>
      <w:r>
        <w:t xml:space="preserve">This document summarises the current state of the Tempo production-readiness programme against the ten-phase specification: what has been built and verified, what remains outstanding, which decisions are blocking further work, and which external dependencies need to be resolved. It is written for handover to delivery management, not as an engineering design record — the underlying detail lives in the repository's docs/ folder, referenced throughout.</w:t>
      </w:r>
    </w:p>
    <w:p>
      <w:pPr>
        <w:pStyle w:val="Heading2"/>
        <w:spacing w:after="120" w:before="280"/>
      </w:pPr>
      <w:r>
        <w:t xml:space="preserve">Headline status</w:t>
      </w:r>
    </w:p>
    <w:p>
      <w:pPr>
        <w:pStyle w:val="ListParagraph"/>
        <w:numPr>
          <w:ilvl w:val="0"/>
          <w:numId w:val="2"/>
        </w:numPr>
        <w:spacing w:after="80"/>
      </w:pPr>
      <w:r>
        <w:t xml:space="preserve">Phases 0 through 3 of 10 are complete: repository mobilisation, identity/tenant-isolation foundations, the production data platform, and the integration service.</w:t>
      </w:r>
    </w:p>
    <w:p>
      <w:pPr>
        <w:pStyle w:val="ListParagraph"/>
        <w:numPr>
          <w:ilvl w:val="0"/>
          <w:numId w:val="2"/>
        </w:numPr>
        <w:spacing w:after="80"/>
      </w:pPr>
      <w:r>
        <w:t xml:space="preserve">190 backend automated tests pass at the current commit, up from 141 at the start of this work. Every increment was verified against its own tests before being called done.</w:t>
      </w:r>
    </w:p>
    <w:p>
      <w:pPr>
        <w:pStyle w:val="ListParagraph"/>
        <w:numPr>
          <w:ilvl w:val="0"/>
          <w:numId w:val="2"/>
        </w:numPr>
        <w:spacing w:after="80"/>
      </w:pPr>
      <w:r>
        <w:t xml:space="preserve">Two real security/correctness bugs were found and fixed during this work, not just documented — see “Quality notes” below.</w:t>
      </w:r>
    </w:p>
    <w:p>
      <w:pPr>
        <w:pStyle w:val="ListParagraph"/>
        <w:numPr>
          <w:ilvl w:val="0"/>
          <w:numId w:val="2"/>
        </w:numPr>
        <w:spacing w:after="80"/>
      </w:pPr>
      <w:r>
        <w:t xml:space="preserve">Ten Architecture Decision Records are drafted and awaiting approval. Almost nothing in Phases 4–9 can proceed at full pace until the first four are decided.</w:t>
      </w:r>
    </w:p>
    <w:p>
      <w:pPr>
        <w:pStyle w:val="ListParagraph"/>
        <w:numPr>
          <w:ilvl w:val="0"/>
          <w:numId w:val="2"/>
        </w:numPr>
        <w:spacing w:after="80"/>
      </w:pPr>
      <w:r>
        <w:t xml:space="preserve">Two Phase 0 items could not be completed by the engineering session at all — they require a human with GitHub organisation-admin access (see “Dependencies to resolve”).</w:t>
      </w:r>
    </w:p>
    <w:p>
      <w:r>
        <w:br w:type="page"/>
      </w:r>
    </w:p>
    <w:p>
      <w:pPr>
        <w:pStyle w:val="Heading1"/>
        <w:spacing w:after="160" w:before="360"/>
      </w:pPr>
      <w:r>
        <w:t xml:space="preserve">1. What has been built</w:t>
      </w:r>
    </w:p>
    <w:p>
      <w:pPr>
        <w:spacing w:after="140"/>
      </w:pPr>
      <w:r>
        <w:t xml:space="preserve">Reflects an existing, working engineering-MVP codebase (FastAPI service, ten solver families, a React console, native attendance capture) that predates this programme. The work below is what this pass added on top of it.</w:t>
      </w:r>
    </w:p>
    <w:p>
      <w:pPr>
        <w:pStyle w:val="Heading2"/>
        <w:spacing w:after="120" w:before="280"/>
      </w:pPr>
      <w:r>
        <w:t xml:space="preserve">Progress against the ten-phase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00"/>
      </w:tblGrid>
      <w:tr>
        <w:trPr>
          <w:tblHeader/>
        </w:trPr>
        <w:tc>
          <w:tcPr>
            <w:tcW w:type="dxa" w:w="2400"/>
            <w:shd w:fill="0F4C81" w:color="auto" w:val="clear"/>
            <w:tcMar>
              <w:top w:type="dxa" w:w="80"/>
              <w:left w:type="dxa" w:w="100"/>
              <w:bottom w:type="dxa" w:w="80"/>
              <w:right w:type="dxa" w:w="100"/>
            </w:tcMar>
          </w:tcPr>
          <w:p>
            <w:pPr>
              <w:jc w:val="left"/>
            </w:pPr>
            <w:r>
              <w:rPr>
                <w:b/>
                <w:bCs/>
                <w:color w:val="FFFFFF"/>
                <w:sz w:val="19"/>
                <w:szCs w:val="19"/>
              </w:rPr>
              <w:t xml:space="preserve">Phase</w:t>
            </w:r>
          </w:p>
        </w:tc>
        <w:tc>
          <w:tcPr>
            <w:tcW w:type="dxa" w:w="1500"/>
            <w:shd w:fill="0F4C81" w:color="auto" w:val="clear"/>
            <w:tcMar>
              <w:top w:type="dxa" w:w="80"/>
              <w:left w:type="dxa" w:w="100"/>
              <w:bottom w:type="dxa" w:w="80"/>
              <w:right w:type="dxa" w:w="100"/>
            </w:tcMar>
          </w:tcPr>
          <w:p>
            <w:pPr>
              <w:jc w:val="left"/>
            </w:pPr>
            <w:r>
              <w:rPr>
                <w:b/>
                <w:bCs/>
                <w:color w:val="FFFFFF"/>
                <w:sz w:val="19"/>
                <w:szCs w:val="19"/>
              </w:rPr>
              <w:t xml:space="preserve">Status</w:t>
            </w:r>
          </w:p>
        </w:tc>
        <w:tc>
          <w:tcPr>
            <w:tcW w:type="dxa" w:w="5400"/>
            <w:shd w:fill="0F4C81" w:color="auto" w:val="clear"/>
            <w:tcMar>
              <w:top w:type="dxa" w:w="80"/>
              <w:left w:type="dxa" w:w="100"/>
              <w:bottom w:type="dxa" w:w="80"/>
              <w:right w:type="dxa" w:w="100"/>
            </w:tcMar>
          </w:tcPr>
          <w:p>
            <w:pPr>
              <w:jc w:val="left"/>
            </w:pPr>
            <w:r>
              <w:rPr>
                <w:b/>
                <w:bCs/>
                <w:color w:val="FFFFFF"/>
                <w:sz w:val="19"/>
                <w:szCs w:val="19"/>
              </w:rPr>
              <w:t xml:space="preserve">Summary</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Phase 0 — Mobilisation</w:t>
            </w:r>
          </w:p>
        </w:tc>
        <w:tc>
          <w:tcPr>
            <w:tcW w:type="dxa" w:w="1500"/>
            <w:tcMar>
              <w:top w:type="dxa" w:w="80"/>
              <w:left w:type="dxa" w:w="100"/>
              <w:bottom w:type="dxa" w:w="80"/>
              <w:right w:type="dxa" w:w="100"/>
            </w:tcMar>
          </w:tcPr>
          <w:p>
            <w:pPr>
              <w:jc w:val="left"/>
            </w:pPr>
            <w:r>
              <w:rPr>
                <w:b/>
                <w:bCs/>
                <w:color w:val="0F4C81"/>
                <w:sz w:val="19"/>
                <w:szCs w:val="19"/>
              </w:rPr>
              <w:t xml:space="preserve">Partial</w:t>
            </w:r>
          </w:p>
        </w:tc>
        <w:tc>
          <w:tcPr>
            <w:tcW w:type="dxa" w:w="5400"/>
            <w:tcMar>
              <w:top w:type="dxa" w:w="80"/>
              <w:left w:type="dxa" w:w="100"/>
              <w:bottom w:type="dxa" w:w="80"/>
              <w:right w:type="dxa" w:w="100"/>
            </w:tcMar>
          </w:tcPr>
          <w:p>
            <w:pPr>
              <w:jc w:val="left"/>
            </w:pPr>
            <w:r>
              <w:rPr>
                <w:b w:val="false"/>
                <w:bCs w:val="false"/>
                <w:color w:val="000000"/>
                <w:sz w:val="19"/>
                <w:szCs w:val="19"/>
              </w:rPr>
              <w:t xml:space="preserve">Repo/process controls: what code and docs could do is done; two items need a human with GitHub admin rights.</w:t>
            </w:r>
          </w:p>
        </w:tc>
      </w:tr>
      <w:tr>
        <w:tc>
          <w:tcPr>
            <w:tcW w:type="dxa" w:w="2400"/>
            <w:shd w:fill="F2F5F8" w:color="auto" w:val="clear"/>
            <w:tcMar>
              <w:top w:type="dxa" w:w="80"/>
              <w:left w:type="dxa" w:w="100"/>
              <w:bottom w:type="dxa" w:w="80"/>
              <w:right w:type="dxa" w:w="100"/>
            </w:tcMar>
          </w:tcPr>
          <w:p>
            <w:pPr>
              <w:jc w:val="left"/>
            </w:pPr>
            <w:r>
              <w:rPr>
                <w:b w:val="false"/>
                <w:bCs w:val="false"/>
                <w:color w:val="000000"/>
                <w:sz w:val="19"/>
                <w:szCs w:val="19"/>
              </w:rPr>
              <w:t xml:space="preserve">Phase 1 — Identity &amp; Tenant Isolation</w:t>
            </w:r>
          </w:p>
        </w:tc>
        <w:tc>
          <w:tcPr>
            <w:tcW w:type="dxa" w:w="1500"/>
            <w:shd w:fill="F2F5F8" w:color="auto" w:val="clear"/>
            <w:tcMar>
              <w:top w:type="dxa" w:w="80"/>
              <w:left w:type="dxa" w:w="100"/>
              <w:bottom w:type="dxa" w:w="80"/>
              <w:right w:type="dxa" w:w="100"/>
            </w:tcMar>
          </w:tcPr>
          <w:p>
            <w:pPr>
              <w:jc w:val="left"/>
            </w:pPr>
            <w:r>
              <w:rPr>
                <w:b/>
                <w:bCs/>
                <w:color w:val="0F4C81"/>
                <w:sz w:val="19"/>
                <w:szCs w:val="19"/>
              </w:rPr>
              <w:t xml:space="preserve">Foundations done</w:t>
            </w:r>
          </w:p>
        </w:tc>
        <w:tc>
          <w:tcPr>
            <w:tcW w:type="dxa" w:w="5400"/>
            <w:shd w:fill="F2F5F8" w:color="auto" w:val="clear"/>
            <w:tcMar>
              <w:top w:type="dxa" w:w="80"/>
              <w:left w:type="dxa" w:w="100"/>
              <w:bottom w:type="dxa" w:w="80"/>
              <w:right w:type="dxa" w:w="100"/>
            </w:tcMar>
          </w:tcPr>
          <w:p>
            <w:pPr>
              <w:jc w:val="left"/>
            </w:pPr>
            <w:r>
              <w:rPr>
                <w:b w:val="false"/>
                <w:bCs w:val="false"/>
                <w:color w:val="000000"/>
                <w:sz w:val="19"/>
                <w:szCs w:val="19"/>
              </w:rPr>
              <w:t xml:space="preserve">Data model, resolver and tests built and passing; not yet wired to live traffic (needs Phase 0's identity-provider decision).</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Phase 2 — Production Data Platform</w:t>
            </w:r>
          </w:p>
        </w:tc>
        <w:tc>
          <w:tcPr>
            <w:tcW w:type="dxa" w:w="1500"/>
            <w:tcMar>
              <w:top w:type="dxa" w:w="80"/>
              <w:left w:type="dxa" w:w="100"/>
              <w:bottom w:type="dxa" w:w="80"/>
              <w:right w:type="dxa" w:w="100"/>
            </w:tcMar>
          </w:tcPr>
          <w:p>
            <w:pPr>
              <w:jc w:val="left"/>
            </w:pPr>
            <w:r>
              <w:rPr>
                <w:b/>
                <w:bCs/>
                <w:color w:val="0F4C81"/>
                <w:sz w:val="19"/>
                <w:szCs w:val="19"/>
              </w:rPr>
              <w:t xml:space="preserve">Done (what's testable here)</w:t>
            </w:r>
          </w:p>
        </w:tc>
        <w:tc>
          <w:tcPr>
            <w:tcW w:type="dxa" w:w="5400"/>
            <w:tcMar>
              <w:top w:type="dxa" w:w="80"/>
              <w:left w:type="dxa" w:w="100"/>
              <w:bottom w:type="dxa" w:w="80"/>
              <w:right w:type="dxa" w:w="100"/>
            </w:tcMar>
          </w:tcPr>
          <w:p>
            <w:pPr>
              <w:jc w:val="left"/>
            </w:pPr>
            <w:r>
              <w:rPr>
                <w:b w:val="false"/>
                <w:bCs w:val="false"/>
                <w:color w:val="000000"/>
                <w:sz w:val="19"/>
                <w:szCs w:val="19"/>
              </w:rPr>
              <w:t xml:space="preserve">Migrations, pooling, snapshot/audit linkage, retention policy all built and tested; four items need a real Oracle/OCI environment.</w:t>
            </w:r>
          </w:p>
        </w:tc>
      </w:tr>
      <w:tr>
        <w:tc>
          <w:tcPr>
            <w:tcW w:type="dxa" w:w="2400"/>
            <w:shd w:fill="F2F5F8" w:color="auto" w:val="clear"/>
            <w:tcMar>
              <w:top w:type="dxa" w:w="80"/>
              <w:left w:type="dxa" w:w="100"/>
              <w:bottom w:type="dxa" w:w="80"/>
              <w:right w:type="dxa" w:w="100"/>
            </w:tcMar>
          </w:tcPr>
          <w:p>
            <w:pPr>
              <w:jc w:val="left"/>
            </w:pPr>
            <w:r>
              <w:rPr>
                <w:b w:val="false"/>
                <w:bCs w:val="false"/>
                <w:color w:val="000000"/>
                <w:sz w:val="19"/>
                <w:szCs w:val="19"/>
              </w:rPr>
              <w:t xml:space="preserve">Phase 3 — Integration Service</w:t>
            </w:r>
          </w:p>
        </w:tc>
        <w:tc>
          <w:tcPr>
            <w:tcW w:type="dxa" w:w="1500"/>
            <w:shd w:fill="F2F5F8" w:color="auto" w:val="clear"/>
            <w:tcMar>
              <w:top w:type="dxa" w:w="80"/>
              <w:left w:type="dxa" w:w="100"/>
              <w:bottom w:type="dxa" w:w="80"/>
              <w:right w:type="dxa" w:w="100"/>
            </w:tcMar>
          </w:tcPr>
          <w:p>
            <w:pPr>
              <w:jc w:val="left"/>
            </w:pPr>
            <w:r>
              <w:rPr>
                <w:b/>
                <w:bCs/>
                <w:color w:val="0F4C81"/>
                <w:sz w:val="19"/>
                <w:szCs w:val="19"/>
              </w:rPr>
              <w:t xml:space="preserve">Done (what's testable here)</w:t>
            </w:r>
          </w:p>
        </w:tc>
        <w:tc>
          <w:tcPr>
            <w:tcW w:type="dxa" w:w="5400"/>
            <w:shd w:fill="F2F5F8" w:color="auto" w:val="clear"/>
            <w:tcMar>
              <w:top w:type="dxa" w:w="80"/>
              <w:left w:type="dxa" w:w="100"/>
              <w:bottom w:type="dxa" w:w="80"/>
              <w:right w:type="dxa" w:w="100"/>
            </w:tcMar>
          </w:tcPr>
          <w:p>
            <w:pPr>
              <w:jc w:val="left"/>
            </w:pPr>
            <w:r>
              <w:rPr>
                <w:b w:val="false"/>
                <w:bCs w:val="false"/>
                <w:color w:val="000000"/>
                <w:sz w:val="19"/>
                <w:szCs w:val="19"/>
              </w:rPr>
              <w:t xml:space="preserve">A real, versioned ingestion API and connection-credential lifecycle now exist; real vendor sandbox certification is blocked.</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Phase 4 — Async Processing &amp; Eventing</w:t>
            </w:r>
          </w:p>
        </w:tc>
        <w:tc>
          <w:tcPr>
            <w:tcW w:type="dxa" w:w="1500"/>
            <w:tcMar>
              <w:top w:type="dxa" w:w="80"/>
              <w:left w:type="dxa" w:w="100"/>
              <w:bottom w:type="dxa" w:w="80"/>
              <w:right w:type="dxa" w:w="100"/>
            </w:tcMar>
          </w:tcPr>
          <w:p>
            <w:pPr>
              <w:jc w:val="left"/>
            </w:pPr>
            <w:r>
              <w:rPr>
                <w:b/>
                <w:bCs/>
                <w:color w:val="6B7280"/>
                <w:sz w:val="19"/>
                <w:szCs w:val="19"/>
              </w:rPr>
              <w:t xml:space="preserve">Not started</w:t>
            </w:r>
          </w:p>
        </w:tc>
        <w:tc>
          <w:tcPr>
            <w:tcW w:type="dxa" w:w="5400"/>
            <w:tcMar>
              <w:top w:type="dxa" w:w="80"/>
              <w:left w:type="dxa" w:w="100"/>
              <w:bottom w:type="dxa" w:w="80"/>
              <w:right w:type="dxa" w:w="100"/>
            </w:tcMar>
          </w:tcPr>
          <w:p>
            <w:pPr>
              <w:jc w:val="left"/>
            </w:pPr>
            <w:r>
              <w:rPr>
                <w:b w:val="false"/>
                <w:bCs w:val="false"/>
                <w:color w:val="000000"/>
                <w:sz w:val="19"/>
                <w:szCs w:val="19"/>
              </w:rPr>
              <w:t xml:space="preserve">Planned next; depends on the queue-technology decision (ADR-0003).</w:t>
            </w:r>
          </w:p>
        </w:tc>
      </w:tr>
      <w:tr>
        <w:tc>
          <w:tcPr>
            <w:tcW w:type="dxa" w:w="2400"/>
            <w:shd w:fill="F2F5F8" w:color="auto" w:val="clear"/>
            <w:tcMar>
              <w:top w:type="dxa" w:w="80"/>
              <w:left w:type="dxa" w:w="100"/>
              <w:bottom w:type="dxa" w:w="80"/>
              <w:right w:type="dxa" w:w="100"/>
            </w:tcMar>
          </w:tcPr>
          <w:p>
            <w:pPr>
              <w:jc w:val="left"/>
            </w:pPr>
            <w:r>
              <w:rPr>
                <w:b w:val="false"/>
                <w:bCs w:val="false"/>
                <w:color w:val="000000"/>
                <w:sz w:val="19"/>
                <w:szCs w:val="19"/>
              </w:rPr>
              <w:t xml:space="preserve">Phase 5 — Controlled Writeback</w:t>
            </w:r>
          </w:p>
        </w:tc>
        <w:tc>
          <w:tcPr>
            <w:tcW w:type="dxa" w:w="1500"/>
            <w:shd w:fill="F2F5F8" w:color="auto" w:val="clear"/>
            <w:tcMar>
              <w:top w:type="dxa" w:w="80"/>
              <w:left w:type="dxa" w:w="100"/>
              <w:bottom w:type="dxa" w:w="80"/>
              <w:right w:type="dxa" w:w="100"/>
            </w:tcMar>
          </w:tcPr>
          <w:p>
            <w:pPr>
              <w:jc w:val="left"/>
            </w:pPr>
            <w:r>
              <w:rPr>
                <w:b/>
                <w:bCs/>
                <w:color w:val="6B7280"/>
                <w:sz w:val="19"/>
                <w:szCs w:val="19"/>
              </w:rPr>
              <w:t xml:space="preserve">Not started</w:t>
            </w:r>
          </w:p>
        </w:tc>
        <w:tc>
          <w:tcPr>
            <w:tcW w:type="dxa" w:w="5400"/>
            <w:shd w:fill="F2F5F8" w:color="auto" w:val="clear"/>
            <w:tcMar>
              <w:top w:type="dxa" w:w="80"/>
              <w:left w:type="dxa" w:w="100"/>
              <w:bottom w:type="dxa" w:w="80"/>
              <w:right w:type="dxa" w:w="100"/>
            </w:tcMar>
          </w:tcPr>
          <w:p>
            <w:pPr>
              <w:jc w:val="left"/>
            </w:pPr>
            <w:r>
              <w:rPr>
                <w:b w:val="false"/>
                <w:bCs w:val="false"/>
                <w:color w:val="000000"/>
                <w:sz w:val="19"/>
                <w:szCs w:val="19"/>
              </w:rPr>
              <w:t xml:space="preserve">Depends on Phase 3/4 and the first writeback action decision (ADR-0006).</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Phase 6 — Optimisation Hardening &amp; Model Governance</w:t>
            </w:r>
          </w:p>
        </w:tc>
        <w:tc>
          <w:tcPr>
            <w:tcW w:type="dxa" w:w="1500"/>
            <w:tcMar>
              <w:top w:type="dxa" w:w="80"/>
              <w:left w:type="dxa" w:w="100"/>
              <w:bottom w:type="dxa" w:w="80"/>
              <w:right w:type="dxa" w:w="100"/>
            </w:tcMar>
          </w:tcPr>
          <w:p>
            <w:pPr>
              <w:jc w:val="left"/>
            </w:pPr>
            <w:r>
              <w:rPr>
                <w:b/>
                <w:bCs/>
                <w:color w:val="6B7280"/>
                <w:sz w:val="19"/>
                <w:szCs w:val="19"/>
              </w:rPr>
              <w:t xml:space="preserve">Not started</w:t>
            </w:r>
          </w:p>
        </w:tc>
        <w:tc>
          <w:tcPr>
            <w:tcW w:type="dxa" w:w="5400"/>
            <w:tcMar>
              <w:top w:type="dxa" w:w="80"/>
              <w:left w:type="dxa" w:w="100"/>
              <w:bottom w:type="dxa" w:w="80"/>
              <w:right w:type="dxa" w:w="100"/>
            </w:tcMar>
          </w:tcPr>
          <w:p>
            <w:pPr>
              <w:jc w:val="left"/>
            </w:pPr>
            <w:r>
              <w:rPr>
                <w:b w:val="false"/>
                <w:bCs w:val="false"/>
                <w:color w:val="000000"/>
                <w:sz w:val="19"/>
                <w:szCs w:val="19"/>
              </w:rPr>
              <w:t xml:space="preserve">Depends on real historical data and workplace-rule sign-off from the pilot customer.</w:t>
            </w:r>
          </w:p>
        </w:tc>
      </w:tr>
      <w:tr>
        <w:tc>
          <w:tcPr>
            <w:tcW w:type="dxa" w:w="2400"/>
            <w:shd w:fill="F2F5F8" w:color="auto" w:val="clear"/>
            <w:tcMar>
              <w:top w:type="dxa" w:w="80"/>
              <w:left w:type="dxa" w:w="100"/>
              <w:bottom w:type="dxa" w:w="80"/>
              <w:right w:type="dxa" w:w="100"/>
            </w:tcMar>
          </w:tcPr>
          <w:p>
            <w:pPr>
              <w:jc w:val="left"/>
            </w:pPr>
            <w:r>
              <w:rPr>
                <w:b w:val="false"/>
                <w:bCs w:val="false"/>
                <w:color w:val="000000"/>
                <w:sz w:val="19"/>
                <w:szCs w:val="19"/>
              </w:rPr>
              <w:t xml:space="preserve">Phase 7 — Customer Console &amp; Kiosk</w:t>
            </w:r>
          </w:p>
        </w:tc>
        <w:tc>
          <w:tcPr>
            <w:tcW w:type="dxa" w:w="1500"/>
            <w:shd w:fill="F2F5F8" w:color="auto" w:val="clear"/>
            <w:tcMar>
              <w:top w:type="dxa" w:w="80"/>
              <w:left w:type="dxa" w:w="100"/>
              <w:bottom w:type="dxa" w:w="80"/>
              <w:right w:type="dxa" w:w="100"/>
            </w:tcMar>
          </w:tcPr>
          <w:p>
            <w:pPr>
              <w:jc w:val="left"/>
            </w:pPr>
            <w:r>
              <w:rPr>
                <w:b/>
                <w:bCs/>
                <w:color w:val="6B7280"/>
                <w:sz w:val="19"/>
                <w:szCs w:val="19"/>
              </w:rPr>
              <w:t xml:space="preserve">Not started</w:t>
            </w:r>
          </w:p>
        </w:tc>
        <w:tc>
          <w:tcPr>
            <w:tcW w:type="dxa" w:w="5400"/>
            <w:shd w:fill="F2F5F8" w:color="auto" w:val="clear"/>
            <w:tcMar>
              <w:top w:type="dxa" w:w="80"/>
              <w:left w:type="dxa" w:w="100"/>
              <w:bottom w:type="dxa" w:w="80"/>
              <w:right w:type="dxa" w:w="100"/>
            </w:tcMar>
          </w:tcPr>
          <w:p>
            <w:pPr>
              <w:jc w:val="left"/>
            </w:pPr>
            <w:r>
              <w:rPr>
                <w:b w:val="false"/>
                <w:bCs w:val="false"/>
                <w:color w:val="000000"/>
                <w:sz w:val="19"/>
                <w:szCs w:val="19"/>
              </w:rPr>
              <w:t xml:space="preserve">Depends on the identity-provider decision (ADR-0001) for real login.</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Phase 8 — Cloud Platform &amp; Observability</w:t>
            </w:r>
          </w:p>
        </w:tc>
        <w:tc>
          <w:tcPr>
            <w:tcW w:type="dxa" w:w="1500"/>
            <w:tcMar>
              <w:top w:type="dxa" w:w="80"/>
              <w:left w:type="dxa" w:w="100"/>
              <w:bottom w:type="dxa" w:w="80"/>
              <w:right w:type="dxa" w:w="100"/>
            </w:tcMar>
          </w:tcPr>
          <w:p>
            <w:pPr>
              <w:jc w:val="left"/>
            </w:pPr>
            <w:r>
              <w:rPr>
                <w:b/>
                <w:bCs/>
                <w:color w:val="6B7280"/>
                <w:sz w:val="19"/>
                <w:szCs w:val="19"/>
              </w:rPr>
              <w:t xml:space="preserve">Not started</w:t>
            </w:r>
          </w:p>
        </w:tc>
        <w:tc>
          <w:tcPr>
            <w:tcW w:type="dxa" w:w="5400"/>
            <w:tcMar>
              <w:top w:type="dxa" w:w="80"/>
              <w:left w:type="dxa" w:w="100"/>
              <w:bottom w:type="dxa" w:w="80"/>
              <w:right w:type="dxa" w:w="100"/>
            </w:tcMar>
          </w:tcPr>
          <w:p>
            <w:pPr>
              <w:jc w:val="left"/>
            </w:pPr>
            <w:r>
              <w:rPr>
                <w:b w:val="false"/>
                <w:bCs w:val="false"/>
                <w:color w:val="000000"/>
                <w:sz w:val="19"/>
                <w:szCs w:val="19"/>
              </w:rPr>
              <w:t xml:space="preserve">Depends on the deployment-runtime decision (ADR-0004) and an OCI account.</w:t>
            </w:r>
          </w:p>
        </w:tc>
      </w:tr>
      <w:tr>
        <w:tc>
          <w:tcPr>
            <w:tcW w:type="dxa" w:w="2400"/>
            <w:shd w:fill="F2F5F8" w:color="auto" w:val="clear"/>
            <w:tcMar>
              <w:top w:type="dxa" w:w="80"/>
              <w:left w:type="dxa" w:w="100"/>
              <w:bottom w:type="dxa" w:w="80"/>
              <w:right w:type="dxa" w:w="100"/>
            </w:tcMar>
          </w:tcPr>
          <w:p>
            <w:pPr>
              <w:jc w:val="left"/>
            </w:pPr>
            <w:r>
              <w:rPr>
                <w:b w:val="false"/>
                <w:bCs w:val="false"/>
                <w:color w:val="000000"/>
                <w:sz w:val="19"/>
                <w:szCs w:val="19"/>
              </w:rPr>
              <w:t xml:space="preserve">Phase 9 — Verification Pilot &amp; Release</w:t>
            </w:r>
          </w:p>
        </w:tc>
        <w:tc>
          <w:tcPr>
            <w:tcW w:type="dxa" w:w="1500"/>
            <w:shd w:fill="F2F5F8" w:color="auto" w:val="clear"/>
            <w:tcMar>
              <w:top w:type="dxa" w:w="80"/>
              <w:left w:type="dxa" w:w="100"/>
              <w:bottom w:type="dxa" w:w="80"/>
              <w:right w:type="dxa" w:w="100"/>
            </w:tcMar>
          </w:tcPr>
          <w:p>
            <w:pPr>
              <w:jc w:val="left"/>
            </w:pPr>
            <w:r>
              <w:rPr>
                <w:b/>
                <w:bCs/>
                <w:color w:val="6B7280"/>
                <w:sz w:val="19"/>
                <w:szCs w:val="19"/>
              </w:rPr>
              <w:t xml:space="preserve">Not started</w:t>
            </w:r>
          </w:p>
        </w:tc>
        <w:tc>
          <w:tcPr>
            <w:tcW w:type="dxa" w:w="5400"/>
            <w:shd w:fill="F2F5F8" w:color="auto" w:val="clear"/>
            <w:tcMar>
              <w:top w:type="dxa" w:w="80"/>
              <w:left w:type="dxa" w:w="100"/>
              <w:bottom w:type="dxa" w:w="80"/>
              <w:right w:type="dxa" w:w="100"/>
            </w:tcMar>
          </w:tcPr>
          <w:p>
            <w:pPr>
              <w:jc w:val="left"/>
            </w:pPr>
            <w:r>
              <w:rPr>
                <w:b w:val="false"/>
                <w:bCs w:val="false"/>
                <w:color w:val="000000"/>
                <w:sz w:val="19"/>
                <w:szCs w:val="19"/>
              </w:rPr>
              <w:t xml:space="preserve">Depends on a named pilot customer/site — a commercial decision, not an engineering one.</w:t>
            </w:r>
          </w:p>
        </w:tc>
      </w:tr>
    </w:tbl>
    <w:p>
      <w:pPr>
        <w:pStyle w:val="Heading2"/>
        <w:spacing w:after="120" w:before="280"/>
      </w:pPr>
      <w:r>
        <w:t xml:space="preserve">Phase 0 — Mobilisation</w:t>
      </w:r>
    </w:p>
    <w:p>
      <w:pPr>
        <w:pStyle w:val="ListParagraph"/>
        <w:numPr>
          <w:ilvl w:val="0"/>
          <w:numId w:val="2"/>
        </w:numPr>
        <w:spacing w:after="80"/>
      </w:pPr>
      <w:r>
        <w:rPr>
          <w:b/>
          <w:bCs/>
        </w:rPr>
        <w:t xml:space="preserve">Repository governance: </w:t>
      </w:r>
      <w:r>
        <w:t xml:space="preserve">a CODEOWNERS file routes security-sensitive code, infrastructure, and documentation to named review teams (placeholder team names — real GitHub handles still need to be assigned).</w:t>
      </w:r>
    </w:p>
    <w:p>
      <w:pPr>
        <w:pStyle w:val="ListParagraph"/>
        <w:numPr>
          <w:ilvl w:val="0"/>
          <w:numId w:val="2"/>
        </w:numPr>
        <w:spacing w:after="80"/>
      </w:pPr>
      <w:r>
        <w:rPr>
          <w:b/>
          <w:bCs/>
        </w:rPr>
        <w:t xml:space="preserve">Ten Architecture Decision Records: </w:t>
      </w:r>
      <w:r>
        <w:t xml:space="preserve">drafted covering every technical decision the specification's Appendix D lists, each with a recommendation, trade-offs, cost, and exactly what work it blocks. See Section 3.</w:t>
      </w:r>
    </w:p>
    <w:p>
      <w:pPr>
        <w:pStyle w:val="ListParagraph"/>
        <w:numPr>
          <w:ilvl w:val="0"/>
          <w:numId w:val="2"/>
        </w:numPr>
        <w:spacing w:after="80"/>
      </w:pPr>
      <w:r>
        <w:rPr>
          <w:b/>
          <w:bCs/>
        </w:rPr>
        <w:t xml:space="preserve">Pilot charter and environment/access matrix: </w:t>
      </w:r>
      <w:r>
        <w:t xml:space="preserve">drafted against the existing demo data as a template, with every field needing a real answer clearly marked “TBD.”</w:t>
      </w:r>
    </w:p>
    <w:p>
      <w:pPr>
        <w:pStyle w:val="ListParagraph"/>
        <w:numPr>
          <w:ilvl w:val="0"/>
          <w:numId w:val="2"/>
        </w:numPr>
        <w:spacing w:after="80"/>
      </w:pPr>
      <w:r>
        <w:rPr>
          <w:b/>
          <w:bCs/>
        </w:rPr>
        <w:t xml:space="preserve">Solver development freeze: </w:t>
      </w:r>
      <w:r>
        <w:t xml:space="preserve">recorded and scoped precisely — it blocks new solver families only, not this programme's own work.</w:t>
      </w:r>
    </w:p>
    <w:p>
      <w:pPr>
        <w:pStyle w:val="ListParagraph"/>
        <w:numPr>
          <w:ilvl w:val="0"/>
          <w:numId w:val="2"/>
        </w:numPr>
        <w:spacing w:after="80"/>
      </w:pPr>
      <w:r>
        <w:rPr>
          <w:b/>
          <w:bCs/>
        </w:rPr>
        <w:t xml:space="preserve">Not completed: </w:t>
      </w:r>
      <w:r>
        <w:t xml:space="preserve">making the repository private and enabling branch-protection rules. These require GitHub organisation-administrator access that the engineering session does not have — see Section 4.</w:t>
      </w:r>
    </w:p>
    <w:p>
      <w:pPr>
        <w:pStyle w:val="Heading2"/>
        <w:spacing w:after="120" w:before="280"/>
      </w:pPr>
      <w:r>
        <w:t xml:space="preserve">Phase 1 — Identity Security and Tenant Isolation (foundations)</w:t>
      </w:r>
    </w:p>
    <w:p>
      <w:pPr>
        <w:spacing w:after="140"/>
      </w:pPr>
      <w:r>
        <w:t xml:space="preserve">Scoped deliberately to what does not require choosing an identity provider first, so this work would not need to be redone once that decision lands.</w:t>
      </w:r>
    </w:p>
    <w:p>
      <w:pPr>
        <w:pStyle w:val="ListParagraph"/>
        <w:numPr>
          <w:ilvl w:val="0"/>
          <w:numId w:val="2"/>
        </w:numPr>
        <w:spacing w:after="80"/>
      </w:pPr>
      <w:r>
        <w:rPr>
          <w:b/>
          <w:bCs/>
        </w:rPr>
        <w:t xml:space="preserve">A real principal and permission data model: </w:t>
      </w:r>
      <w:r>
        <w:t xml:space="preserve">nine new database tables covering users, tenant memberships, role assignments, site/customer/provider access grants, kiosk devices, service credentials, sessions, support-access grants, and a security audit log.</w:t>
      </w:r>
    </w:p>
    <w:p>
      <w:pPr>
        <w:pStyle w:val="ListParagraph"/>
        <w:numPr>
          <w:ilvl w:val="0"/>
          <w:numId w:val="2"/>
        </w:numPr>
        <w:spacing w:after="80"/>
      </w:pPr>
      <w:r>
        <w:rPr>
          <w:b/>
          <w:bCs/>
        </w:rPr>
        <w:t xml:space="preserve">A single authorisation resolver: </w:t>
      </w:r>
      <w:r>
        <w:t xml:space="preserve">one component now defines “what can this caller do,” covering all seven kinds of caller the specification names (tenant staff, workers, labour-provider users, customer users, kiosk devices, integration clients, and support staff). Previously this logic was duplicated in each API endpoint.</w:t>
      </w:r>
    </w:p>
    <w:p>
      <w:pPr>
        <w:pStyle w:val="ListParagraph"/>
        <w:numPr>
          <w:ilvl w:val="0"/>
          <w:numId w:val="2"/>
        </w:numPr>
        <w:spacing w:after="80"/>
      </w:pPr>
      <w:r>
        <w:rPr>
          <w:b/>
          <w:bCs/>
        </w:rPr>
        <w:t xml:space="preserve">A full audit of tenant data isolation: </w:t>
      </w:r>
      <w:r>
        <w:t xml:space="preserve">every database table and every API endpoint reviewed for whether it correctly restricts a caller to their own tenant, site and customer data.</w:t>
      </w:r>
    </w:p>
    <w:p>
      <w:pPr>
        <w:pStyle w:val="ListParagraph"/>
        <w:numPr>
          <w:ilvl w:val="0"/>
          <w:numId w:val="2"/>
        </w:numPr>
        <w:spacing w:after="80"/>
      </w:pPr>
      <w:r>
        <w:rPr>
          <w:b/>
          <w:bCs/>
        </w:rPr>
        <w:t xml:space="preserve">A real bug found and fixed: </w:t>
      </w:r>
      <w:r>
        <w:t xml:space="preserve">five API endpoints silently skipped a security check instead of denying access when a caller's site list was empty — a caller with only customer-level access could, before this fix, reach any site in the tenant. Confirmed the fix was necessary by reverting it and watching the new tests fail, then restoring it.</w:t>
      </w:r>
    </w:p>
    <w:p>
      <w:pPr>
        <w:pStyle w:val="ListParagraph"/>
        <w:numPr>
          <w:ilvl w:val="0"/>
          <w:numId w:val="2"/>
        </w:numPr>
        <w:spacing w:after="80"/>
      </w:pPr>
      <w:r>
        <w:rPr>
          <w:b/>
          <w:bCs/>
        </w:rPr>
        <w:t xml:space="preserve">Not yet done: </w:t>
      </w:r>
      <w:r>
        <w:t xml:space="preserve">none of this is connected to live traffic yet. The system still authenticates every request via a header the caller sets themselves, which is explicitly documented in the code as unsafe for production. Connecting the new resolver to real authentication is the next step once an identity provider is chosen (ADR-0001).</w:t>
      </w:r>
    </w:p>
    <w:p>
      <w:pPr>
        <w:pStyle w:val="Heading2"/>
        <w:spacing w:after="120" w:before="280"/>
      </w:pPr>
      <w:r>
        <w:t xml:space="preserve">Phase 2 — Production Data Platform</w:t>
      </w:r>
    </w:p>
    <w:p>
      <w:pPr>
        <w:pStyle w:val="ListParagraph"/>
        <w:numPr>
          <w:ilvl w:val="0"/>
          <w:numId w:val="2"/>
        </w:numPr>
        <w:spacing w:after="80"/>
      </w:pPr>
      <w:r>
        <w:rPr>
          <w:b/>
          <w:bCs/>
        </w:rPr>
        <w:t xml:space="preserve">Database migrations: </w:t>
      </w:r>
      <w:r>
        <w:t xml:space="preserve">the database schema is now managed through versioned, reversible migration scripts instead of being recreated from scratch. Tested both directions (upgrade and rollback) against a clean database.</w:t>
      </w:r>
    </w:p>
    <w:p>
      <w:pPr>
        <w:pStyle w:val="ListParagraph"/>
        <w:numPr>
          <w:ilvl w:val="0"/>
          <w:numId w:val="2"/>
        </w:numPr>
        <w:spacing w:after="80"/>
      </w:pPr>
      <w:r>
        <w:rPr>
          <w:b/>
          <w:bCs/>
        </w:rPr>
        <w:t xml:space="preserve">A real bug found and fixed: </w:t>
      </w:r>
      <w:r>
        <w:t xml:space="preserve">the migration tooling itself had a bug that would have silently redirected every migration run at the developer's own local database, regardless of which database was intended. Caught by the very first test written for it, fixed before being relied on.</w:t>
      </w:r>
    </w:p>
    <w:p>
      <w:pPr>
        <w:pStyle w:val="ListParagraph"/>
        <w:numPr>
          <w:ilvl w:val="0"/>
          <w:numId w:val="2"/>
        </w:numPr>
        <w:spacing w:after="80"/>
      </w:pPr>
      <w:r>
        <w:rPr>
          <w:b/>
          <w:bCs/>
        </w:rPr>
        <w:t xml:space="preserve">Connection pooling and timeout settings: </w:t>
      </w:r>
      <w:r>
        <w:t xml:space="preserve">made configurable, with safe defaults, ready to be tuned once real load-testing is possible.</w:t>
      </w:r>
    </w:p>
    <w:p>
      <w:pPr>
        <w:pStyle w:val="ListParagraph"/>
        <w:numPr>
          <w:ilvl w:val="0"/>
          <w:numId w:val="2"/>
        </w:numPr>
        <w:spacing w:after="80"/>
      </w:pPr>
      <w:r>
        <w:rPr>
          <w:b/>
          <w:bCs/>
        </w:rPr>
        <w:t xml:space="preserve">Traceable run data: </w:t>
      </w:r>
      <w:r>
        <w:t xml:space="preserve">a run's input parameters, cost hash, and the source-system data versions used are now recorded and linked from the recommendation and the resulting action — previously this was just a label with nothing behind it.</w:t>
      </w:r>
    </w:p>
    <w:p>
      <w:pPr>
        <w:pStyle w:val="ListParagraph"/>
        <w:numPr>
          <w:ilvl w:val="0"/>
          <w:numId w:val="2"/>
        </w:numPr>
        <w:spacing w:after="80"/>
      </w:pPr>
      <w:r>
        <w:rPr>
          <w:b/>
          <w:bCs/>
        </w:rPr>
        <w:t xml:space="preserve">A data retention policy: </w:t>
      </w:r>
      <w:r>
        <w:t xml:space="preserve">drafted per data category (attendance, financial, audit, etc.), explicitly marked as a starting proposal pending legal/customer confirmation.</w:t>
      </w:r>
    </w:p>
    <w:p>
      <w:pPr>
        <w:pStyle w:val="ListParagraph"/>
        <w:numPr>
          <w:ilvl w:val="0"/>
          <w:numId w:val="2"/>
        </w:numPr>
        <w:spacing w:after="80"/>
      </w:pPr>
      <w:r>
        <w:rPr>
          <w:b/>
          <w:bCs/>
        </w:rPr>
        <w:t xml:space="preserve">Not yet done (needs a real Oracle/cloud environment): </w:t>
      </w:r>
      <w:r>
        <w:t xml:space="preserve">validating the database driver against real Oracle, encryption at rest, backup and disaster-recovery testing, and formal data-contract publishing. None of these can be meaningfully done without the infrastructure decision in ADR-0002.</w:t>
      </w:r>
    </w:p>
    <w:p>
      <w:pPr>
        <w:pStyle w:val="Heading2"/>
        <w:spacing w:after="120" w:before="280"/>
      </w:pPr>
      <w:r>
        <w:t xml:space="preserve">Phase 3 — Integration Service</w:t>
      </w:r>
    </w:p>
    <w:p>
      <w:pPr>
        <w:pStyle w:val="ListParagraph"/>
        <w:numPr>
          <w:ilvl w:val="0"/>
          <w:numId w:val="2"/>
        </w:numPr>
        <w:spacing w:after="80"/>
      </w:pPr>
      <w:r>
        <w:rPr>
          <w:b/>
          <w:bCs/>
        </w:rPr>
        <w:t xml:space="preserve">A real data-ingestion API: </w:t>
      </w:r>
      <w:r>
        <w:t xml:space="preserve">a documented endpoint for accepting workforce data from source systems existed only as a claim in the code's own comments — no such endpoint had ever actually been built. It now exists, checks that the caller is allowed to submit data for the tenant they claim, checks the data format version, and safely handles the same record being submitted twice.</w:t>
      </w:r>
    </w:p>
    <w:p>
      <w:pPr>
        <w:pStyle w:val="ListParagraph"/>
        <w:numPr>
          <w:ilvl w:val="0"/>
          <w:numId w:val="2"/>
        </w:numPr>
        <w:spacing w:after="80"/>
      </w:pPr>
      <w:r>
        <w:rPr>
          <w:b/>
          <w:bCs/>
        </w:rPr>
        <w:t xml:space="preserve">A connection credential lifecycle: </w:t>
      </w:r>
      <w:r>
        <w:t xml:space="preserve">registering a connection to a source system (e.g. a rostering vendor) previously could only ever sit in one “awaiting credentials” state forever. It can now genuinely progress through storing credentials, testing, activating, pausing and revoking — clearly disclosed as not yet validating against a real vendor, since no live vendor account is available to test against.</w:t>
      </w:r>
    </w:p>
    <w:p>
      <w:pPr>
        <w:pStyle w:val="ListParagraph"/>
        <w:numPr>
          <w:ilvl w:val="0"/>
          <w:numId w:val="2"/>
        </w:numPr>
        <w:spacing w:after="80"/>
      </w:pPr>
      <w:r>
        <w:rPr>
          <w:b/>
          <w:bCs/>
        </w:rPr>
        <w:t xml:space="preserve">Connection health visibility: </w:t>
      </w:r>
      <w:r>
        <w:t xml:space="preserve">a new endpoint reports each connection's sync history and error counts — honestly empty today, since no connection has ever actually run a live sync.</w:t>
      </w:r>
    </w:p>
    <w:p>
      <w:pPr>
        <w:pStyle w:val="ListParagraph"/>
        <w:numPr>
          <w:ilvl w:val="0"/>
          <w:numId w:val="2"/>
        </w:numPr>
        <w:spacing w:after="80"/>
      </w:pPr>
      <w:r>
        <w:rPr>
          <w:b/>
          <w:bCs/>
        </w:rPr>
        <w:t xml:space="preserve">Not yet done (needs a live vendor account): </w:t>
      </w:r>
      <w:r>
        <w:t xml:space="preserve">certifying the actual rostering/workforce-management and warehouse-system connectors against a real vendor sandbox. The connector code exists and is unit-tested against the vendors' published API documentation, but has never been run against a live account.</w:t>
      </w:r>
    </w:p>
    <w:p>
      <w:r>
        <w:br w:type="page"/>
      </w:r>
    </w:p>
    <w:p>
      <w:pPr>
        <w:pStyle w:val="Heading1"/>
        <w:spacing w:after="160" w:before="360"/>
      </w:pPr>
      <w:r>
        <w:t xml:space="preserve">2. What is outstanding</w:t>
      </w:r>
    </w:p>
    <w:p>
      <w:pPr>
        <w:pStyle w:val="Heading2"/>
        <w:spacing w:after="120" w:before="280"/>
      </w:pPr>
      <w:r>
        <w:t xml:space="preserve">Not yet started</w:t>
      </w:r>
    </w:p>
    <w:p>
      <w:pPr>
        <w:pStyle w:val="ListParagraph"/>
        <w:numPr>
          <w:ilvl w:val="0"/>
          <w:numId w:val="2"/>
        </w:numPr>
        <w:spacing w:after="80"/>
      </w:pPr>
      <w:r>
        <w:rPr>
          <w:b/>
          <w:bCs/>
        </w:rPr>
        <w:t xml:space="preserve">Phase 4 — Asynchronous Processing and Eventing: </w:t>
      </w:r>
      <w:r>
        <w:t xml:space="preserve">moving long-running calculations off the request path so the system stays responsive under load, with durable job tracking and cancellation.</w:t>
      </w:r>
    </w:p>
    <w:p>
      <w:pPr>
        <w:pStyle w:val="ListParagraph"/>
        <w:numPr>
          <w:ilvl w:val="0"/>
          <w:numId w:val="2"/>
        </w:numPr>
        <w:spacing w:after="80"/>
      </w:pPr>
      <w:r>
        <w:rPr>
          <w:b/>
          <w:bCs/>
        </w:rPr>
        <w:t xml:space="preserve">Phase 5 — Controlled Writeback: </w:t>
      </w:r>
      <w:r>
        <w:t xml:space="preserve">the first real, reversible write of an approved recommendation back into a live source system.</w:t>
      </w:r>
    </w:p>
    <w:p>
      <w:pPr>
        <w:pStyle w:val="ListParagraph"/>
        <w:numPr>
          <w:ilvl w:val="0"/>
          <w:numId w:val="2"/>
        </w:numPr>
        <w:spacing w:after="80"/>
      </w:pPr>
      <w:r>
        <w:rPr>
          <w:b/>
          <w:bCs/>
        </w:rPr>
        <w:t xml:space="preserve">Phase 6 — Optimisation Hardening and Model Governance: </w:t>
      </w:r>
      <w:r>
        <w:t xml:space="preserve">calibrating the existing models against real operational data, and formal approval/versioning of model changes.</w:t>
      </w:r>
    </w:p>
    <w:p>
      <w:pPr>
        <w:pStyle w:val="ListParagraph"/>
        <w:numPr>
          <w:ilvl w:val="0"/>
          <w:numId w:val="2"/>
        </w:numPr>
        <w:spacing w:after="80"/>
      </w:pPr>
      <w:r>
        <w:rPr>
          <w:b/>
          <w:bCs/>
        </w:rPr>
        <w:t xml:space="preserve">Phase 7 — Customer Console and Kiosk: </w:t>
      </w:r>
      <w:r>
        <w:t xml:space="preserve">replacing the current engineering-facing interface with a secure, role-based one — including a real login, which depends on Phase 1 being connected to a real identity provider.</w:t>
      </w:r>
    </w:p>
    <w:p>
      <w:pPr>
        <w:pStyle w:val="ListParagraph"/>
        <w:numPr>
          <w:ilvl w:val="0"/>
          <w:numId w:val="2"/>
        </w:numPr>
        <w:spacing w:after="80"/>
      </w:pPr>
      <w:r>
        <w:rPr>
          <w:b/>
          <w:bCs/>
        </w:rPr>
        <w:t xml:space="preserve">Phase 8 — Cloud Platform and Observability: </w:t>
      </w:r>
      <w:r>
        <w:t xml:space="preserve">repeatable cloud environments, automated deployment, monitoring and incident runbooks.</w:t>
      </w:r>
    </w:p>
    <w:p>
      <w:pPr>
        <w:pStyle w:val="ListParagraph"/>
        <w:numPr>
          <w:ilvl w:val="0"/>
          <w:numId w:val="2"/>
        </w:numPr>
        <w:spacing w:after="80"/>
      </w:pPr>
      <w:r>
        <w:rPr>
          <w:b/>
          <w:bCs/>
        </w:rPr>
        <w:t xml:space="preserve">Phase 9 — Verification Pilot and Release: </w:t>
      </w:r>
      <w:r>
        <w:t xml:space="preserve">the actual supervised pilot at one warehouse — inherently a business process with a real customer, not something engineering can pre-build.</w:t>
      </w:r>
    </w:p>
    <w:p>
      <w:pPr>
        <w:pStyle w:val="Heading2"/>
        <w:spacing w:after="120" w:before="280"/>
      </w:pPr>
      <w:r>
        <w:t xml:space="preserve">Gaps inside the completed phases</w:t>
      </w:r>
    </w:p>
    <w:p>
      <w:pPr>
        <w:spacing w:after="140"/>
      </w:pPr>
      <w:r>
        <w:t xml:space="preserve">Each is tied to a named decision or dependency, not left ambiguous — see Sections 3 and 4.</w:t>
      </w:r>
    </w:p>
    <w:p>
      <w:pPr>
        <w:pStyle w:val="ListParagraph"/>
        <w:numPr>
          <w:ilvl w:val="0"/>
          <w:numId w:val="2"/>
        </w:numPr>
        <w:spacing w:after="80"/>
      </w:pPr>
      <w:r>
        <w:rPr>
          <w:b/>
          <w:bCs/>
        </w:rPr>
        <w:t xml:space="preserve">Phase 0: </w:t>
      </w:r>
      <w:r>
        <w:t xml:space="preserve">making the repository private and enabling branch-protection rules (needs GitHub admin access).</w:t>
      </w:r>
    </w:p>
    <w:p>
      <w:pPr>
        <w:pStyle w:val="ListParagraph"/>
        <w:numPr>
          <w:ilvl w:val="0"/>
          <w:numId w:val="2"/>
        </w:numPr>
        <w:spacing w:after="80"/>
      </w:pPr>
      <w:r>
        <w:rPr>
          <w:b/>
          <w:bCs/>
        </w:rPr>
        <w:t xml:space="preserve">Phase 1: </w:t>
      </w:r>
      <w:r>
        <w:t xml:space="preserve">the new authorisation model is not yet connected to real request traffic (needs ADR-0001, the identity-provider decision).</w:t>
      </w:r>
    </w:p>
    <w:p>
      <w:pPr>
        <w:pStyle w:val="ListParagraph"/>
        <w:numPr>
          <w:ilvl w:val="0"/>
          <w:numId w:val="2"/>
        </w:numPr>
        <w:spacing w:after="80"/>
      </w:pPr>
      <w:r>
        <w:rPr>
          <w:b/>
          <w:bCs/>
        </w:rPr>
        <w:t xml:space="preserve">Phase 2: </w:t>
      </w:r>
      <w:r>
        <w:t xml:space="preserve">Oracle driver validation, encryption at rest, backup/recovery testing, and data-contract publishing (needs ADR-0002 and a real Oracle/OCI environment).</w:t>
      </w:r>
    </w:p>
    <w:p>
      <w:pPr>
        <w:pStyle w:val="ListParagraph"/>
        <w:numPr>
          <w:ilvl w:val="0"/>
          <w:numId w:val="2"/>
        </w:numPr>
        <w:spacing w:after="80"/>
      </w:pPr>
      <w:r>
        <w:rPr>
          <w:b/>
          <w:bCs/>
        </w:rPr>
        <w:t xml:space="preserve">Phase 3: </w:t>
      </w:r>
      <w:r>
        <w:t xml:space="preserve">certifying real vendor connectors (needs a live vendor sandbox account, tied to ADR-0005).</w:t>
      </w:r>
    </w:p>
    <w:p>
      <w:pPr>
        <w:pStyle w:val="Heading2"/>
        <w:spacing w:after="120" w:before="280"/>
      </w:pPr>
      <w:r>
        <w:t xml:space="preserve">Quality notes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00"/>
      </w:tblGrid>
      <w:tr>
        <w:trPr>
          <w:tblHeader/>
        </w:trPr>
        <w:tc>
          <w:tcPr>
            <w:tcW w:type="dxa" w:w="3200"/>
            <w:shd w:fill="0F4C81" w:color="auto" w:val="clear"/>
            <w:tcMar>
              <w:top w:type="dxa" w:w="80"/>
              <w:left w:type="dxa" w:w="100"/>
              <w:bottom w:type="dxa" w:w="80"/>
              <w:right w:type="dxa" w:w="100"/>
            </w:tcMar>
          </w:tcPr>
          <w:p>
            <w:pPr>
              <w:jc w:val="left"/>
            </w:pPr>
            <w:r>
              <w:rPr>
                <w:b/>
                <w:bCs/>
                <w:color w:val="FFFFFF"/>
                <w:sz w:val="19"/>
                <w:szCs w:val="19"/>
              </w:rPr>
              <w:t xml:space="preserve">Checkpoint</w:t>
            </w:r>
          </w:p>
        </w:tc>
        <w:tc>
          <w:tcPr>
            <w:tcW w:type="dxa" w:w="1600"/>
            <w:shd w:fill="0F4C81" w:color="auto" w:val="clear"/>
            <w:tcMar>
              <w:top w:type="dxa" w:w="80"/>
              <w:left w:type="dxa" w:w="100"/>
              <w:bottom w:type="dxa" w:w="80"/>
              <w:right w:type="dxa" w:w="100"/>
            </w:tcMar>
          </w:tcPr>
          <w:p>
            <w:pPr>
              <w:jc w:val="center"/>
            </w:pPr>
            <w:r>
              <w:rPr>
                <w:b/>
                <w:bCs/>
                <w:color w:val="FFFFFF"/>
                <w:sz w:val="19"/>
                <w:szCs w:val="19"/>
              </w:rPr>
              <w:t xml:space="preserve">Backend tests passing</w:t>
            </w:r>
          </w:p>
        </w:tc>
        <w:tc>
          <w:tcPr>
            <w:tcW w:type="dxa" w:w="4500"/>
            <w:shd w:fill="0F4C81" w:color="auto" w:val="clear"/>
            <w:tcMar>
              <w:top w:type="dxa" w:w="80"/>
              <w:left w:type="dxa" w:w="100"/>
              <w:bottom w:type="dxa" w:w="80"/>
              <w:right w:type="dxa" w:w="100"/>
            </w:tcMar>
          </w:tcPr>
          <w:p>
            <w:pPr>
              <w:jc w:val="left"/>
            </w:pPr>
            <w:r>
              <w:rPr>
                <w:b/>
                <w:bCs/>
                <w:color w:val="FFFFFF"/>
                <w:sz w:val="19"/>
                <w:szCs w:val="19"/>
              </w:rPr>
              <w:t xml:space="preserve">Notes</w:t>
            </w:r>
          </w:p>
        </w:tc>
      </w:tr>
      <w:tr>
        <w:tc>
          <w:tcPr>
            <w:tcW w:type="dxa" w:w="3200"/>
            <w:tcMar>
              <w:top w:type="dxa" w:w="80"/>
              <w:left w:type="dxa" w:w="100"/>
              <w:bottom w:type="dxa" w:w="80"/>
              <w:right w:type="dxa" w:w="100"/>
            </w:tcMar>
          </w:tcPr>
          <w:p>
            <w:pPr>
              <w:jc w:val="left"/>
            </w:pPr>
            <w:r>
              <w:rPr>
                <w:b w:val="false"/>
                <w:bCs w:val="false"/>
                <w:color w:val="000000"/>
                <w:sz w:val="19"/>
                <w:szCs w:val="19"/>
              </w:rPr>
              <w:t xml:space="preserve">Start of this work</w:t>
            </w:r>
          </w:p>
        </w:tc>
        <w:tc>
          <w:tcPr>
            <w:tcW w:type="dxa" w:w="1600"/>
            <w:tcMar>
              <w:top w:type="dxa" w:w="80"/>
              <w:left w:type="dxa" w:w="100"/>
              <w:bottom w:type="dxa" w:w="80"/>
              <w:right w:type="dxa" w:w="100"/>
            </w:tcMar>
          </w:tcPr>
          <w:p>
            <w:pPr>
              <w:jc w:val="center"/>
            </w:pPr>
            <w:r>
              <w:rPr>
                <w:b/>
                <w:bCs/>
                <w:color w:val="000000"/>
                <w:sz w:val="19"/>
                <w:szCs w:val="19"/>
              </w:rPr>
              <w:t xml:space="preserve">141</w:t>
            </w:r>
          </w:p>
        </w:tc>
        <w:tc>
          <w:tcPr>
            <w:tcW w:type="dxa" w:w="4500"/>
            <w:tcMar>
              <w:top w:type="dxa" w:w="80"/>
              <w:left w:type="dxa" w:w="100"/>
              <w:bottom w:type="dxa" w:w="80"/>
              <w:right w:type="dxa" w:w="100"/>
            </w:tcMar>
          </w:tcPr>
          <w:p>
            <w:pPr>
              <w:jc w:val="left"/>
            </w:pPr>
            <w:r>
              <w:rPr>
                <w:b w:val="false"/>
                <w:bCs w:val="false"/>
                <w:color w:val="000000"/>
                <w:sz w:val="19"/>
                <w:szCs w:val="19"/>
              </w:rPr>
              <w:t xml:space="preserve">Existing engineering-MVP baseline.</w:t>
            </w:r>
          </w:p>
        </w:tc>
      </w:tr>
      <w:tr>
        <w:tc>
          <w:tcPr>
            <w:tcW w:type="dxa" w:w="3200"/>
            <w:shd w:fill="F2F5F8" w:color="auto" w:val="clear"/>
            <w:tcMar>
              <w:top w:type="dxa" w:w="80"/>
              <w:left w:type="dxa" w:w="100"/>
              <w:bottom w:type="dxa" w:w="80"/>
              <w:right w:type="dxa" w:w="100"/>
            </w:tcMar>
          </w:tcPr>
          <w:p>
            <w:pPr>
              <w:jc w:val="left"/>
            </w:pPr>
            <w:r>
              <w:rPr>
                <w:b w:val="false"/>
                <w:bCs w:val="false"/>
                <w:color w:val="000000"/>
                <w:sz w:val="19"/>
                <w:szCs w:val="19"/>
              </w:rPr>
              <w:t xml:space="preserve">End of Phase 1 (identity foundations)</w:t>
            </w:r>
          </w:p>
        </w:tc>
        <w:tc>
          <w:tcPr>
            <w:tcW w:type="dxa" w:w="1600"/>
            <w:shd w:fill="F2F5F8" w:color="auto" w:val="clear"/>
            <w:tcMar>
              <w:top w:type="dxa" w:w="80"/>
              <w:left w:type="dxa" w:w="100"/>
              <w:bottom w:type="dxa" w:w="80"/>
              <w:right w:type="dxa" w:w="100"/>
            </w:tcMar>
          </w:tcPr>
          <w:p>
            <w:pPr>
              <w:jc w:val="center"/>
            </w:pPr>
            <w:r>
              <w:rPr>
                <w:b/>
                <w:bCs/>
                <w:color w:val="000000"/>
                <w:sz w:val="19"/>
                <w:szCs w:val="19"/>
              </w:rPr>
              <w:t xml:space="preserve">164</w:t>
            </w:r>
          </w:p>
        </w:tc>
        <w:tc>
          <w:tcPr>
            <w:tcW w:type="dxa" w:w="4500"/>
            <w:shd w:fill="F2F5F8" w:color="auto" w:val="clear"/>
            <w:tcMar>
              <w:top w:type="dxa" w:w="80"/>
              <w:left w:type="dxa" w:w="100"/>
              <w:bottom w:type="dxa" w:w="80"/>
              <w:right w:type="dxa" w:w="100"/>
            </w:tcMar>
          </w:tcPr>
          <w:p>
            <w:pPr>
              <w:jc w:val="left"/>
            </w:pPr>
            <w:r>
              <w:rPr>
                <w:b w:val="false"/>
                <w:bCs w:val="false"/>
                <w:color w:val="000000"/>
                <w:sz w:val="19"/>
                <w:szCs w:val="19"/>
              </w:rPr>
              <w:t xml:space="preserve">+23 tests: the new authorisation resolver and the tenant-isolation audit, including the fixed security bug.</w:t>
            </w:r>
          </w:p>
        </w:tc>
      </w:tr>
      <w:tr>
        <w:tc>
          <w:tcPr>
            <w:tcW w:type="dxa" w:w="3200"/>
            <w:tcMar>
              <w:top w:type="dxa" w:w="80"/>
              <w:left w:type="dxa" w:w="100"/>
              <w:bottom w:type="dxa" w:w="80"/>
              <w:right w:type="dxa" w:w="100"/>
            </w:tcMar>
          </w:tcPr>
          <w:p>
            <w:pPr>
              <w:jc w:val="left"/>
            </w:pPr>
            <w:r>
              <w:rPr>
                <w:b w:val="false"/>
                <w:bCs w:val="false"/>
                <w:color w:val="000000"/>
                <w:sz w:val="19"/>
                <w:szCs w:val="19"/>
              </w:rPr>
              <w:t xml:space="preserve">End of Phase 2 (data platform)</w:t>
            </w:r>
          </w:p>
        </w:tc>
        <w:tc>
          <w:tcPr>
            <w:tcW w:type="dxa" w:w="1600"/>
            <w:tcMar>
              <w:top w:type="dxa" w:w="80"/>
              <w:left w:type="dxa" w:w="100"/>
              <w:bottom w:type="dxa" w:w="80"/>
              <w:right w:type="dxa" w:w="100"/>
            </w:tcMar>
          </w:tcPr>
          <w:p>
            <w:pPr>
              <w:jc w:val="center"/>
            </w:pPr>
            <w:r>
              <w:rPr>
                <w:b/>
                <w:bCs/>
                <w:color w:val="000000"/>
                <w:sz w:val="19"/>
                <w:szCs w:val="19"/>
              </w:rPr>
              <w:t xml:space="preserve">174</w:t>
            </w:r>
          </w:p>
        </w:tc>
        <w:tc>
          <w:tcPr>
            <w:tcW w:type="dxa" w:w="4500"/>
            <w:tcMar>
              <w:top w:type="dxa" w:w="80"/>
              <w:left w:type="dxa" w:w="100"/>
              <w:bottom w:type="dxa" w:w="80"/>
              <w:right w:type="dxa" w:w="100"/>
            </w:tcMar>
          </w:tcPr>
          <w:p>
            <w:pPr>
              <w:jc w:val="left"/>
            </w:pPr>
            <w:r>
              <w:rPr>
                <w:b w:val="false"/>
                <w:bCs w:val="false"/>
                <w:color w:val="000000"/>
                <w:sz w:val="19"/>
                <w:szCs w:val="19"/>
              </w:rPr>
              <w:t xml:space="preserve">+10 tests: migrations, connection pooling, run-traceability.</w:t>
            </w:r>
          </w:p>
        </w:tc>
      </w:tr>
      <w:tr>
        <w:tc>
          <w:tcPr>
            <w:tcW w:type="dxa" w:w="3200"/>
            <w:shd w:fill="F2F5F8" w:color="auto" w:val="clear"/>
            <w:tcMar>
              <w:top w:type="dxa" w:w="80"/>
              <w:left w:type="dxa" w:w="100"/>
              <w:bottom w:type="dxa" w:w="80"/>
              <w:right w:type="dxa" w:w="100"/>
            </w:tcMar>
          </w:tcPr>
          <w:p>
            <w:pPr>
              <w:jc w:val="left"/>
            </w:pPr>
            <w:r>
              <w:rPr>
                <w:b w:val="false"/>
                <w:bCs w:val="false"/>
                <w:color w:val="000000"/>
                <w:sz w:val="19"/>
                <w:szCs w:val="19"/>
              </w:rPr>
              <w:t xml:space="preserve">End of Phase 3 (integration service)</w:t>
            </w:r>
          </w:p>
        </w:tc>
        <w:tc>
          <w:tcPr>
            <w:tcW w:type="dxa" w:w="1600"/>
            <w:shd w:fill="F2F5F8" w:color="auto" w:val="clear"/>
            <w:tcMar>
              <w:top w:type="dxa" w:w="80"/>
              <w:left w:type="dxa" w:w="100"/>
              <w:bottom w:type="dxa" w:w="80"/>
              <w:right w:type="dxa" w:w="100"/>
            </w:tcMar>
          </w:tcPr>
          <w:p>
            <w:pPr>
              <w:jc w:val="center"/>
            </w:pPr>
            <w:r>
              <w:rPr>
                <w:b/>
                <w:bCs/>
                <w:color w:val="000000"/>
                <w:sz w:val="19"/>
                <w:szCs w:val="19"/>
              </w:rPr>
              <w:t xml:space="preserve">190</w:t>
            </w:r>
          </w:p>
        </w:tc>
        <w:tc>
          <w:tcPr>
            <w:tcW w:type="dxa" w:w="4500"/>
            <w:shd w:fill="F2F5F8" w:color="auto" w:val="clear"/>
            <w:tcMar>
              <w:top w:type="dxa" w:w="80"/>
              <w:left w:type="dxa" w:w="100"/>
              <w:bottom w:type="dxa" w:w="80"/>
              <w:right w:type="dxa" w:w="100"/>
            </w:tcMar>
          </w:tcPr>
          <w:p>
            <w:pPr>
              <w:jc w:val="left"/>
            </w:pPr>
            <w:r>
              <w:rPr>
                <w:b w:val="false"/>
                <w:bCs w:val="false"/>
                <w:color w:val="000000"/>
                <w:sz w:val="19"/>
                <w:szCs w:val="19"/>
              </w:rPr>
              <w:t xml:space="preserve">+16 tests: the new ingestion API, connection lifecycle and health endpoint.</w:t>
            </w:r>
          </w:p>
        </w:tc>
      </w:tr>
    </w:tbl>
    <w:p>
      <w:pPr>
        <w:spacing w:after="140"/>
      </w:pPr>
      <w:r>
        <w:rPr>
          <w:i/>
          <w:iCs/>
          <w:color w:val="6B7280"/>
        </w:rPr>
        <w:t xml:space="preserve">Every phase was committed and pushed to the main branch only after its own full test suite passed — no phase was left in a partially working state.</w:t>
      </w:r>
    </w:p>
    <w:p>
      <w:r>
        <w:br w:type="page"/>
      </w:r>
    </w:p>
    <w:p>
      <w:pPr>
        <w:pStyle w:val="Heading1"/>
        <w:spacing w:after="160" w:before="360"/>
      </w:pPr>
      <w:r>
        <w:t xml:space="preserve">3. Decisions required</w:t>
      </w:r>
    </w:p>
    <w:p>
      <w:pPr>
        <w:spacing w:after="140"/>
      </w:pPr>
      <w:r>
        <w:t xml:space="preserve">Ten technical decisions are drafted as Architecture Decision Records in the repository (docs/adr/). Each carries a recommendation, but none has been approved by a named owner yet. Two further decisions are commercial, not technical, and are not covered by an ADR.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100"/>
        <w:gridCol w:w="1700"/>
        <w:gridCol w:w="2000"/>
      </w:tblGrid>
      <w:tr>
        <w:trPr>
          <w:tblHeader/>
        </w:trPr>
        <w:tc>
          <w:tcPr>
            <w:tcW w:type="dxa" w:w="500"/>
            <w:shd w:fill="0F4C81" w:color="auto" w:val="clear"/>
            <w:tcMar>
              <w:top w:type="dxa" w:w="80"/>
              <w:left w:type="dxa" w:w="100"/>
              <w:bottom w:type="dxa" w:w="80"/>
              <w:right w:type="dxa" w:w="100"/>
            </w:tcMar>
          </w:tcPr>
          <w:p>
            <w:pPr>
              <w:jc w:val="center"/>
            </w:pPr>
            <w:r>
              <w:rPr>
                <w:b/>
                <w:bCs/>
                <w:color w:val="FFFFFF"/>
                <w:sz w:val="19"/>
                <w:szCs w:val="19"/>
              </w:rPr>
              <w:t xml:space="preserve">#</w:t>
            </w:r>
          </w:p>
        </w:tc>
        <w:tc>
          <w:tcPr>
            <w:tcW w:type="dxa" w:w="2000"/>
            <w:shd w:fill="0F4C81" w:color="auto" w:val="clear"/>
            <w:tcMar>
              <w:top w:type="dxa" w:w="80"/>
              <w:left w:type="dxa" w:w="100"/>
              <w:bottom w:type="dxa" w:w="80"/>
              <w:right w:type="dxa" w:w="100"/>
            </w:tcMar>
          </w:tcPr>
          <w:p>
            <w:pPr>
              <w:jc w:val="left"/>
            </w:pPr>
            <w:r>
              <w:rPr>
                <w:b/>
                <w:bCs/>
                <w:color w:val="FFFFFF"/>
                <w:sz w:val="19"/>
                <w:szCs w:val="19"/>
              </w:rPr>
              <w:t xml:space="preserve">Decision</w:t>
            </w:r>
          </w:p>
        </w:tc>
        <w:tc>
          <w:tcPr>
            <w:tcW w:type="dxa" w:w="3100"/>
            <w:shd w:fill="0F4C81" w:color="auto" w:val="clear"/>
            <w:tcMar>
              <w:top w:type="dxa" w:w="80"/>
              <w:left w:type="dxa" w:w="100"/>
              <w:bottom w:type="dxa" w:w="80"/>
              <w:right w:type="dxa" w:w="100"/>
            </w:tcMar>
          </w:tcPr>
          <w:p>
            <w:pPr>
              <w:jc w:val="left"/>
            </w:pPr>
            <w:r>
              <w:rPr>
                <w:b/>
                <w:bCs/>
                <w:color w:val="FFFFFF"/>
                <w:sz w:val="19"/>
                <w:szCs w:val="19"/>
              </w:rPr>
              <w:t xml:space="preserve">Recommendation</w:t>
            </w:r>
          </w:p>
        </w:tc>
        <w:tc>
          <w:tcPr>
            <w:tcW w:type="dxa" w:w="1700"/>
            <w:shd w:fill="0F4C81" w:color="auto" w:val="clear"/>
            <w:tcMar>
              <w:top w:type="dxa" w:w="80"/>
              <w:left w:type="dxa" w:w="100"/>
              <w:bottom w:type="dxa" w:w="80"/>
              <w:right w:type="dxa" w:w="100"/>
            </w:tcMar>
          </w:tcPr>
          <w:p>
            <w:pPr>
              <w:jc w:val="left"/>
            </w:pPr>
            <w:r>
              <w:rPr>
                <w:b/>
                <w:bCs/>
                <w:color w:val="FFFFFF"/>
                <w:sz w:val="19"/>
                <w:szCs w:val="19"/>
              </w:rPr>
              <w:t xml:space="preserve">Owner</w:t>
            </w:r>
          </w:p>
        </w:tc>
        <w:tc>
          <w:tcPr>
            <w:tcW w:type="dxa" w:w="2000"/>
            <w:shd w:fill="0F4C81" w:color="auto" w:val="clear"/>
            <w:tcMar>
              <w:top w:type="dxa" w:w="80"/>
              <w:left w:type="dxa" w:w="100"/>
              <w:bottom w:type="dxa" w:w="80"/>
              <w:right w:type="dxa" w:w="100"/>
            </w:tcMar>
          </w:tcPr>
          <w:p>
            <w:pPr>
              <w:jc w:val="left"/>
            </w:pPr>
            <w:r>
              <w:rPr>
                <w:b/>
                <w:bCs/>
                <w:color w:val="FFFFFF"/>
                <w:sz w:val="19"/>
                <w:szCs w:val="19"/>
              </w:rPr>
              <w:t xml:space="preserve">Blocks</w:t>
            </w:r>
          </w:p>
        </w:tc>
      </w:tr>
      <w:tr>
        <w:tc>
          <w:tcPr>
            <w:tcW w:type="dxa" w:w="500"/>
            <w:tcMar>
              <w:top w:type="dxa" w:w="80"/>
              <w:left w:type="dxa" w:w="100"/>
              <w:bottom w:type="dxa" w:w="80"/>
              <w:right w:type="dxa" w:w="100"/>
            </w:tcMar>
          </w:tcPr>
          <w:p>
            <w:pPr>
              <w:jc w:val="center"/>
            </w:pPr>
            <w:r>
              <w:rPr>
                <w:b w:val="false"/>
                <w:bCs w:val="false"/>
                <w:color w:val="000000"/>
                <w:sz w:val="19"/>
                <w:szCs w:val="19"/>
              </w:rPr>
              <w:t xml:space="preserve">1</w:t>
            </w:r>
          </w:p>
        </w:tc>
        <w:tc>
          <w:tcPr>
            <w:tcW w:type="dxa" w:w="2000"/>
            <w:tcMar>
              <w:top w:type="dxa" w:w="80"/>
              <w:left w:type="dxa" w:w="100"/>
              <w:bottom w:type="dxa" w:w="80"/>
              <w:right w:type="dxa" w:w="100"/>
            </w:tcMar>
          </w:tcPr>
          <w:p>
            <w:pPr>
              <w:jc w:val="left"/>
            </w:pPr>
            <w:r>
              <w:rPr>
                <w:b/>
                <w:bCs/>
                <w:color w:val="000000"/>
                <w:sz w:val="19"/>
                <w:szCs w:val="19"/>
              </w:rPr>
              <w:t xml:space="preserve">Identity provider</w:t>
            </w:r>
          </w:p>
        </w:tc>
        <w:tc>
          <w:tcPr>
            <w:tcW w:type="dxa" w:w="3100"/>
            <w:tcMar>
              <w:top w:type="dxa" w:w="80"/>
              <w:left w:type="dxa" w:w="100"/>
              <w:bottom w:type="dxa" w:w="80"/>
              <w:right w:type="dxa" w:w="100"/>
            </w:tcMar>
          </w:tcPr>
          <w:p>
            <w:pPr>
              <w:jc w:val="left"/>
            </w:pPr>
            <w:r>
              <w:rPr>
                <w:b w:val="false"/>
                <w:bCs w:val="false"/>
                <w:color w:val="000000"/>
                <w:sz w:val="19"/>
                <w:szCs w:val="19"/>
              </w:rPr>
              <w:t xml:space="preserve">OCI IAM Identity Domains for authentication; local accounts as a fallback for smaller customers</w:t>
            </w:r>
          </w:p>
        </w:tc>
        <w:tc>
          <w:tcPr>
            <w:tcW w:type="dxa" w:w="1700"/>
            <w:tcMar>
              <w:top w:type="dxa" w:w="80"/>
              <w:left w:type="dxa" w:w="100"/>
              <w:bottom w:type="dxa" w:w="80"/>
              <w:right w:type="dxa" w:w="100"/>
            </w:tcMar>
          </w:tcPr>
          <w:p>
            <w:pPr>
              <w:jc w:val="left"/>
            </w:pPr>
            <w:r>
              <w:rPr>
                <w:b w:val="false"/>
                <w:bCs w:val="false"/>
                <w:color w:val="000000"/>
                <w:sz w:val="19"/>
                <w:szCs w:val="19"/>
              </w:rPr>
              <w:t xml:space="preserve">Technical lead + Security</w:t>
            </w:r>
          </w:p>
        </w:tc>
        <w:tc>
          <w:tcPr>
            <w:tcW w:type="dxa" w:w="2000"/>
            <w:tcMar>
              <w:top w:type="dxa" w:w="80"/>
              <w:left w:type="dxa" w:w="100"/>
              <w:bottom w:type="dxa" w:w="80"/>
              <w:right w:type="dxa" w:w="100"/>
            </w:tcMar>
          </w:tcPr>
          <w:p>
            <w:pPr>
              <w:jc w:val="left"/>
            </w:pPr>
            <w:r>
              <w:rPr>
                <w:b w:val="false"/>
                <w:bCs w:val="false"/>
                <w:color w:val="000000"/>
                <w:sz w:val="19"/>
                <w:szCs w:val="19"/>
              </w:rPr>
              <w:t xml:space="preserve">All real login/session work; Phase 7's console login</w:t>
            </w:r>
          </w:p>
        </w:tc>
      </w:tr>
      <w:tr>
        <w:tc>
          <w:tcPr>
            <w:tcW w:type="dxa" w:w="500"/>
            <w:shd w:fill="F2F5F8" w:color="auto" w:val="clear"/>
            <w:tcMar>
              <w:top w:type="dxa" w:w="80"/>
              <w:left w:type="dxa" w:w="100"/>
              <w:bottom w:type="dxa" w:w="80"/>
              <w:right w:type="dxa" w:w="100"/>
            </w:tcMar>
          </w:tcPr>
          <w:p>
            <w:pPr>
              <w:jc w:val="center"/>
            </w:pPr>
            <w:r>
              <w:rPr>
                <w:b w:val="false"/>
                <w:bCs w:val="false"/>
                <w:color w:val="000000"/>
                <w:sz w:val="19"/>
                <w:szCs w:val="19"/>
              </w:rPr>
              <w:t xml:space="preserve">2</w:t>
            </w:r>
          </w:p>
        </w:tc>
        <w:tc>
          <w:tcPr>
            <w:tcW w:type="dxa" w:w="2000"/>
            <w:shd w:fill="F2F5F8" w:color="auto" w:val="clear"/>
            <w:tcMar>
              <w:top w:type="dxa" w:w="80"/>
              <w:left w:type="dxa" w:w="100"/>
              <w:bottom w:type="dxa" w:w="80"/>
              <w:right w:type="dxa" w:w="100"/>
            </w:tcMar>
          </w:tcPr>
          <w:p>
            <w:pPr>
              <w:jc w:val="left"/>
            </w:pPr>
            <w:r>
              <w:rPr>
                <w:b/>
                <w:bCs/>
                <w:color w:val="000000"/>
                <w:sz w:val="19"/>
                <w:szCs w:val="19"/>
              </w:rPr>
              <w:t xml:space="preserve">Oracle database topology &amp; recovery targets</w:t>
            </w:r>
          </w:p>
        </w:tc>
        <w:tc>
          <w:tcPr>
            <w:tcW w:type="dxa" w:w="3100"/>
            <w:shd w:fill="F2F5F8" w:color="auto" w:val="clear"/>
            <w:tcMar>
              <w:top w:type="dxa" w:w="80"/>
              <w:left w:type="dxa" w:w="100"/>
              <w:bottom w:type="dxa" w:w="80"/>
              <w:right w:type="dxa" w:w="100"/>
            </w:tcMar>
          </w:tcPr>
          <w:p>
            <w:pPr>
              <w:jc w:val="left"/>
            </w:pPr>
            <w:r>
              <w:rPr>
                <w:b w:val="false"/>
                <w:bCs w:val="false"/>
                <w:color w:val="000000"/>
                <w:sz w:val="19"/>
                <w:szCs w:val="19"/>
              </w:rPr>
              <w:t xml:space="preserve">Oracle Autonomous Database, single region; 15-min recovery point / 4-hour recovery time</w:t>
            </w:r>
          </w:p>
        </w:tc>
        <w:tc>
          <w:tcPr>
            <w:tcW w:type="dxa" w:w="1700"/>
            <w:shd w:fill="F2F5F8" w:color="auto" w:val="clear"/>
            <w:tcMar>
              <w:top w:type="dxa" w:w="80"/>
              <w:left w:type="dxa" w:w="100"/>
              <w:bottom w:type="dxa" w:w="80"/>
              <w:right w:type="dxa" w:w="100"/>
            </w:tcMar>
          </w:tcPr>
          <w:p>
            <w:pPr>
              <w:jc w:val="left"/>
            </w:pPr>
            <w:r>
              <w:rPr>
                <w:b w:val="false"/>
                <w:bCs w:val="false"/>
                <w:color w:val="000000"/>
                <w:sz w:val="19"/>
                <w:szCs w:val="19"/>
              </w:rPr>
              <w:t xml:space="preserve">Technical lead + Platform owner</w:t>
            </w:r>
          </w:p>
        </w:tc>
        <w:tc>
          <w:tcPr>
            <w:tcW w:type="dxa" w:w="2000"/>
            <w:shd w:fill="F2F5F8" w:color="auto" w:val="clear"/>
            <w:tcMar>
              <w:top w:type="dxa" w:w="80"/>
              <w:left w:type="dxa" w:w="100"/>
              <w:bottom w:type="dxa" w:w="80"/>
              <w:right w:type="dxa" w:w="100"/>
            </w:tcMar>
          </w:tcPr>
          <w:p>
            <w:pPr>
              <w:jc w:val="left"/>
            </w:pPr>
            <w:r>
              <w:rPr>
                <w:b w:val="false"/>
                <w:bCs w:val="false"/>
                <w:color w:val="000000"/>
                <w:sz w:val="19"/>
                <w:szCs w:val="19"/>
              </w:rPr>
              <w:t xml:space="preserve">All of Phase 2's remaining items</w:t>
            </w:r>
          </w:p>
        </w:tc>
      </w:tr>
      <w:tr>
        <w:tc>
          <w:tcPr>
            <w:tcW w:type="dxa" w:w="500"/>
            <w:tcMar>
              <w:top w:type="dxa" w:w="80"/>
              <w:left w:type="dxa" w:w="100"/>
              <w:bottom w:type="dxa" w:w="80"/>
              <w:right w:type="dxa" w:w="100"/>
            </w:tcMar>
          </w:tcPr>
          <w:p>
            <w:pPr>
              <w:jc w:val="center"/>
            </w:pPr>
            <w:r>
              <w:rPr>
                <w:b w:val="false"/>
                <w:bCs w:val="false"/>
                <w:color w:val="000000"/>
                <w:sz w:val="19"/>
                <w:szCs w:val="19"/>
              </w:rPr>
              <w:t xml:space="preserve">3</w:t>
            </w:r>
          </w:p>
        </w:tc>
        <w:tc>
          <w:tcPr>
            <w:tcW w:type="dxa" w:w="2000"/>
            <w:tcMar>
              <w:top w:type="dxa" w:w="80"/>
              <w:left w:type="dxa" w:w="100"/>
              <w:bottom w:type="dxa" w:w="80"/>
              <w:right w:type="dxa" w:w="100"/>
            </w:tcMar>
          </w:tcPr>
          <w:p>
            <w:pPr>
              <w:jc w:val="left"/>
            </w:pPr>
            <w:r>
              <w:rPr>
                <w:b/>
                <w:bCs/>
                <w:color w:val="000000"/>
                <w:sz w:val="19"/>
                <w:szCs w:val="19"/>
              </w:rPr>
              <w:t xml:space="preserve">Queue / event technology</w:t>
            </w:r>
          </w:p>
        </w:tc>
        <w:tc>
          <w:tcPr>
            <w:tcW w:type="dxa" w:w="3100"/>
            <w:tcMar>
              <w:top w:type="dxa" w:w="80"/>
              <w:left w:type="dxa" w:w="100"/>
              <w:bottom w:type="dxa" w:w="80"/>
              <w:right w:type="dxa" w:w="100"/>
            </w:tcMar>
          </w:tcPr>
          <w:p>
            <w:pPr>
              <w:jc w:val="left"/>
            </w:pPr>
            <w:r>
              <w:rPr>
                <w:b w:val="false"/>
                <w:bCs w:val="false"/>
                <w:color w:val="000000"/>
                <w:sz w:val="19"/>
                <w:szCs w:val="19"/>
              </w:rPr>
              <w:t xml:space="preserve">OCI Queue for commands, OCI Streaming for events (fallback: database-backed queue)</w:t>
            </w:r>
          </w:p>
        </w:tc>
        <w:tc>
          <w:tcPr>
            <w:tcW w:type="dxa" w:w="1700"/>
            <w:tcMar>
              <w:top w:type="dxa" w:w="80"/>
              <w:left w:type="dxa" w:w="100"/>
              <w:bottom w:type="dxa" w:w="80"/>
              <w:right w:type="dxa" w:w="100"/>
            </w:tcMar>
          </w:tcPr>
          <w:p>
            <w:pPr>
              <w:jc w:val="left"/>
            </w:pPr>
            <w:r>
              <w:rPr>
                <w:b w:val="false"/>
                <w:bCs w:val="false"/>
                <w:color w:val="000000"/>
                <w:sz w:val="19"/>
                <w:szCs w:val="19"/>
              </w:rPr>
              <w:t xml:space="preserve">Technical lead</w:t>
            </w:r>
          </w:p>
        </w:tc>
        <w:tc>
          <w:tcPr>
            <w:tcW w:type="dxa" w:w="2000"/>
            <w:tcMar>
              <w:top w:type="dxa" w:w="80"/>
              <w:left w:type="dxa" w:w="100"/>
              <w:bottom w:type="dxa" w:w="80"/>
              <w:right w:type="dxa" w:w="100"/>
            </w:tcMar>
          </w:tcPr>
          <w:p>
            <w:pPr>
              <w:jc w:val="left"/>
            </w:pPr>
            <w:r>
              <w:rPr>
                <w:b w:val="false"/>
                <w:bCs w:val="false"/>
                <w:color w:val="000000"/>
                <w:sz w:val="19"/>
                <w:szCs w:val="19"/>
              </w:rPr>
              <w:t xml:space="preserve">All of Phase 4</w:t>
            </w:r>
          </w:p>
        </w:tc>
      </w:tr>
      <w:tr>
        <w:tc>
          <w:tcPr>
            <w:tcW w:type="dxa" w:w="500"/>
            <w:shd w:fill="F2F5F8" w:color="auto" w:val="clear"/>
            <w:tcMar>
              <w:top w:type="dxa" w:w="80"/>
              <w:left w:type="dxa" w:w="100"/>
              <w:bottom w:type="dxa" w:w="80"/>
              <w:right w:type="dxa" w:w="100"/>
            </w:tcMar>
          </w:tcPr>
          <w:p>
            <w:pPr>
              <w:jc w:val="center"/>
            </w:pPr>
            <w:r>
              <w:rPr>
                <w:b w:val="false"/>
                <w:bCs w:val="false"/>
                <w:color w:val="000000"/>
                <w:sz w:val="19"/>
                <w:szCs w:val="19"/>
              </w:rPr>
              <w:t xml:space="preserve">4</w:t>
            </w:r>
          </w:p>
        </w:tc>
        <w:tc>
          <w:tcPr>
            <w:tcW w:type="dxa" w:w="2000"/>
            <w:shd w:fill="F2F5F8" w:color="auto" w:val="clear"/>
            <w:tcMar>
              <w:top w:type="dxa" w:w="80"/>
              <w:left w:type="dxa" w:w="100"/>
              <w:bottom w:type="dxa" w:w="80"/>
              <w:right w:type="dxa" w:w="100"/>
            </w:tcMar>
          </w:tcPr>
          <w:p>
            <w:pPr>
              <w:jc w:val="left"/>
            </w:pPr>
            <w:r>
              <w:rPr>
                <w:b/>
                <w:bCs/>
                <w:color w:val="000000"/>
                <w:sz w:val="19"/>
                <w:szCs w:val="19"/>
              </w:rPr>
              <w:t xml:space="preserve">Deployment runtime</w:t>
            </w:r>
          </w:p>
        </w:tc>
        <w:tc>
          <w:tcPr>
            <w:tcW w:type="dxa" w:w="3100"/>
            <w:shd w:fill="F2F5F8" w:color="auto" w:val="clear"/>
            <w:tcMar>
              <w:top w:type="dxa" w:w="80"/>
              <w:left w:type="dxa" w:w="100"/>
              <w:bottom w:type="dxa" w:w="80"/>
              <w:right w:type="dxa" w:w="100"/>
            </w:tcMar>
          </w:tcPr>
          <w:p>
            <w:pPr>
              <w:jc w:val="left"/>
            </w:pPr>
            <w:r>
              <w:rPr>
                <w:b w:val="false"/>
                <w:bCs w:val="false"/>
                <w:color w:val="000000"/>
                <w:sz w:val="19"/>
                <w:szCs w:val="19"/>
              </w:rPr>
              <w:t xml:space="preserve">OCI Container Instances for the pilot; reconsider only if a second site needs stronger isolation</w:t>
            </w:r>
          </w:p>
        </w:tc>
        <w:tc>
          <w:tcPr>
            <w:tcW w:type="dxa" w:w="1700"/>
            <w:shd w:fill="F2F5F8" w:color="auto" w:val="clear"/>
            <w:tcMar>
              <w:top w:type="dxa" w:w="80"/>
              <w:left w:type="dxa" w:w="100"/>
              <w:bottom w:type="dxa" w:w="80"/>
              <w:right w:type="dxa" w:w="100"/>
            </w:tcMar>
          </w:tcPr>
          <w:p>
            <w:pPr>
              <w:jc w:val="left"/>
            </w:pPr>
            <w:r>
              <w:rPr>
                <w:b w:val="false"/>
                <w:bCs w:val="false"/>
                <w:color w:val="000000"/>
                <w:sz w:val="19"/>
                <w:szCs w:val="19"/>
              </w:rPr>
              <w:t xml:space="preserve">Technical lead + Platform owner</w:t>
            </w:r>
          </w:p>
        </w:tc>
        <w:tc>
          <w:tcPr>
            <w:tcW w:type="dxa" w:w="2000"/>
            <w:shd w:fill="F2F5F8" w:color="auto" w:val="clear"/>
            <w:tcMar>
              <w:top w:type="dxa" w:w="80"/>
              <w:left w:type="dxa" w:w="100"/>
              <w:bottom w:type="dxa" w:w="80"/>
              <w:right w:type="dxa" w:w="100"/>
            </w:tcMar>
          </w:tcPr>
          <w:p>
            <w:pPr>
              <w:jc w:val="left"/>
            </w:pPr>
            <w:r>
              <w:rPr>
                <w:b w:val="false"/>
                <w:bCs w:val="false"/>
                <w:color w:val="000000"/>
                <w:sz w:val="19"/>
                <w:szCs w:val="19"/>
              </w:rPr>
              <w:t xml:space="preserve">Phase 8 (deployment, CI/CD)</w:t>
            </w:r>
          </w:p>
        </w:tc>
      </w:tr>
      <w:tr>
        <w:tc>
          <w:tcPr>
            <w:tcW w:type="dxa" w:w="500"/>
            <w:tcMar>
              <w:top w:type="dxa" w:w="80"/>
              <w:left w:type="dxa" w:w="100"/>
              <w:bottom w:type="dxa" w:w="80"/>
              <w:right w:type="dxa" w:w="100"/>
            </w:tcMar>
          </w:tcPr>
          <w:p>
            <w:pPr>
              <w:jc w:val="center"/>
            </w:pPr>
            <w:r>
              <w:rPr>
                <w:b w:val="false"/>
                <w:bCs w:val="false"/>
                <w:color w:val="000000"/>
                <w:sz w:val="19"/>
                <w:szCs w:val="19"/>
              </w:rPr>
              <w:t xml:space="preserve">5</w:t>
            </w:r>
          </w:p>
        </w:tc>
        <w:tc>
          <w:tcPr>
            <w:tcW w:type="dxa" w:w="2000"/>
            <w:tcMar>
              <w:top w:type="dxa" w:w="80"/>
              <w:left w:type="dxa" w:w="100"/>
              <w:bottom w:type="dxa" w:w="80"/>
              <w:right w:type="dxa" w:w="100"/>
            </w:tcMar>
          </w:tcPr>
          <w:p>
            <w:pPr>
              <w:jc w:val="left"/>
            </w:pPr>
            <w:r>
              <w:rPr>
                <w:b/>
                <w:bCs/>
                <w:color w:val="000000"/>
                <w:sz w:val="19"/>
                <w:szCs w:val="19"/>
              </w:rPr>
              <w:t xml:space="preserve">First pilot connectors (rostering system + warehouse system)</w:t>
            </w:r>
          </w:p>
        </w:tc>
        <w:tc>
          <w:tcPr>
            <w:tcW w:type="dxa" w:w="3100"/>
            <w:tcMar>
              <w:top w:type="dxa" w:w="80"/>
              <w:left w:type="dxa" w:w="100"/>
              <w:bottom w:type="dxa" w:w="80"/>
              <w:right w:type="dxa" w:w="100"/>
            </w:tcMar>
          </w:tcPr>
          <w:p>
            <w:pPr>
              <w:jc w:val="left"/>
            </w:pPr>
            <w:r>
              <w:rPr>
                <w:b w:val="false"/>
                <w:bCs w:val="false"/>
                <w:color w:val="000000"/>
                <w:sz w:val="19"/>
                <w:szCs w:val="19"/>
              </w:rPr>
              <w:t xml:space="preserve">Provisional: existing Deputy + generic warehouse-system code, pending the actual pilot site</w:t>
            </w:r>
          </w:p>
        </w:tc>
        <w:tc>
          <w:tcPr>
            <w:tcW w:type="dxa" w:w="1700"/>
            <w:tcMar>
              <w:top w:type="dxa" w:w="80"/>
              <w:left w:type="dxa" w:w="100"/>
              <w:bottom w:type="dxa" w:w="80"/>
              <w:right w:type="dxa" w:w="100"/>
            </w:tcMar>
          </w:tcPr>
          <w:p>
            <w:pPr>
              <w:jc w:val="left"/>
            </w:pPr>
            <w:r>
              <w:rPr>
                <w:b w:val="false"/>
                <w:bCs w:val="false"/>
                <w:color w:val="000000"/>
                <w:sz w:val="19"/>
                <w:szCs w:val="19"/>
              </w:rPr>
              <w:t xml:space="preserve">Product owner + Pilot customer</w:t>
            </w:r>
          </w:p>
        </w:tc>
        <w:tc>
          <w:tcPr>
            <w:tcW w:type="dxa" w:w="2000"/>
            <w:tcMar>
              <w:top w:type="dxa" w:w="80"/>
              <w:left w:type="dxa" w:w="100"/>
              <w:bottom w:type="dxa" w:w="80"/>
              <w:right w:type="dxa" w:w="100"/>
            </w:tcMar>
          </w:tcPr>
          <w:p>
            <w:pPr>
              <w:jc w:val="left"/>
            </w:pPr>
            <w:r>
              <w:rPr>
                <w:b w:val="false"/>
                <w:bCs w:val="false"/>
                <w:color w:val="000000"/>
                <w:sz w:val="19"/>
                <w:szCs w:val="19"/>
              </w:rPr>
              <w:t xml:space="preserve">Phase 3's remaining vendor certification</w:t>
            </w:r>
          </w:p>
        </w:tc>
      </w:tr>
      <w:tr>
        <w:tc>
          <w:tcPr>
            <w:tcW w:type="dxa" w:w="500"/>
            <w:shd w:fill="F2F5F8" w:color="auto" w:val="clear"/>
            <w:tcMar>
              <w:top w:type="dxa" w:w="80"/>
              <w:left w:type="dxa" w:w="100"/>
              <w:bottom w:type="dxa" w:w="80"/>
              <w:right w:type="dxa" w:w="100"/>
            </w:tcMar>
          </w:tcPr>
          <w:p>
            <w:pPr>
              <w:jc w:val="center"/>
            </w:pPr>
            <w:r>
              <w:rPr>
                <w:b w:val="false"/>
                <w:bCs w:val="false"/>
                <w:color w:val="000000"/>
                <w:sz w:val="19"/>
                <w:szCs w:val="19"/>
              </w:rPr>
              <w:t xml:space="preserve">6</w:t>
            </w:r>
          </w:p>
        </w:tc>
        <w:tc>
          <w:tcPr>
            <w:tcW w:type="dxa" w:w="2000"/>
            <w:shd w:fill="F2F5F8" w:color="auto" w:val="clear"/>
            <w:tcMar>
              <w:top w:type="dxa" w:w="80"/>
              <w:left w:type="dxa" w:w="100"/>
              <w:bottom w:type="dxa" w:w="80"/>
              <w:right w:type="dxa" w:w="100"/>
            </w:tcMar>
          </w:tcPr>
          <w:p>
            <w:pPr>
              <w:jc w:val="left"/>
            </w:pPr>
            <w:r>
              <w:rPr>
                <w:b/>
                <w:bCs/>
                <w:color w:val="000000"/>
                <w:sz w:val="19"/>
                <w:szCs w:val="19"/>
              </w:rPr>
              <w:t xml:space="preserve">First writeback action &amp; reversal method</w:t>
            </w:r>
          </w:p>
        </w:tc>
        <w:tc>
          <w:tcPr>
            <w:tcW w:type="dxa" w:w="3100"/>
            <w:shd w:fill="F2F5F8" w:color="auto" w:val="clear"/>
            <w:tcMar>
              <w:top w:type="dxa" w:w="80"/>
              <w:left w:type="dxa" w:w="100"/>
              <w:bottom w:type="dxa" w:w="80"/>
              <w:right w:type="dxa" w:w="100"/>
            </w:tcMar>
          </w:tcPr>
          <w:p>
            <w:pPr>
              <w:jc w:val="left"/>
            </w:pPr>
            <w:r>
              <w:rPr>
                <w:b w:val="false"/>
                <w:bCs w:val="false"/>
                <w:color w:val="000000"/>
                <w:sz w:val="19"/>
                <w:szCs w:val="19"/>
              </w:rPr>
              <w:t xml:space="preserve">Publish a roster to the chosen rostering vendor; reversal by re-publishing the prior version</w:t>
            </w:r>
          </w:p>
        </w:tc>
        <w:tc>
          <w:tcPr>
            <w:tcW w:type="dxa" w:w="1700"/>
            <w:shd w:fill="F2F5F8" w:color="auto" w:val="clear"/>
            <w:tcMar>
              <w:top w:type="dxa" w:w="80"/>
              <w:left w:type="dxa" w:w="100"/>
              <w:bottom w:type="dxa" w:w="80"/>
              <w:right w:type="dxa" w:w="100"/>
            </w:tcMar>
          </w:tcPr>
          <w:p>
            <w:pPr>
              <w:jc w:val="left"/>
            </w:pPr>
            <w:r>
              <w:rPr>
                <w:b w:val="false"/>
                <w:bCs w:val="false"/>
                <w:color w:val="000000"/>
                <w:sz w:val="19"/>
                <w:szCs w:val="19"/>
              </w:rPr>
              <w:t xml:space="preserve">Product owner + Pilot operations owner</w:t>
            </w:r>
          </w:p>
        </w:tc>
        <w:tc>
          <w:tcPr>
            <w:tcW w:type="dxa" w:w="2000"/>
            <w:shd w:fill="F2F5F8" w:color="auto" w:val="clear"/>
            <w:tcMar>
              <w:top w:type="dxa" w:w="80"/>
              <w:left w:type="dxa" w:w="100"/>
              <w:bottom w:type="dxa" w:w="80"/>
              <w:right w:type="dxa" w:w="100"/>
            </w:tcMar>
          </w:tcPr>
          <w:p>
            <w:pPr>
              <w:jc w:val="left"/>
            </w:pPr>
            <w:r>
              <w:rPr>
                <w:b w:val="false"/>
                <w:bCs w:val="false"/>
                <w:color w:val="000000"/>
                <w:sz w:val="19"/>
                <w:szCs w:val="19"/>
              </w:rPr>
              <w:t xml:space="preserve">All of Phase 5</w:t>
            </w:r>
          </w:p>
        </w:tc>
      </w:tr>
      <w:tr>
        <w:tc>
          <w:tcPr>
            <w:tcW w:type="dxa" w:w="500"/>
            <w:tcMar>
              <w:top w:type="dxa" w:w="80"/>
              <w:left w:type="dxa" w:w="100"/>
              <w:bottom w:type="dxa" w:w="80"/>
              <w:right w:type="dxa" w:w="100"/>
            </w:tcMar>
          </w:tcPr>
          <w:p>
            <w:pPr>
              <w:jc w:val="center"/>
            </w:pPr>
            <w:r>
              <w:rPr>
                <w:b w:val="false"/>
                <w:bCs w:val="false"/>
                <w:color w:val="000000"/>
                <w:sz w:val="19"/>
                <w:szCs w:val="19"/>
              </w:rPr>
              <w:t xml:space="preserve">7</w:t>
            </w:r>
          </w:p>
        </w:tc>
        <w:tc>
          <w:tcPr>
            <w:tcW w:type="dxa" w:w="2000"/>
            <w:tcMar>
              <w:top w:type="dxa" w:w="80"/>
              <w:left w:type="dxa" w:w="100"/>
              <w:bottom w:type="dxa" w:w="80"/>
              <w:right w:type="dxa" w:w="100"/>
            </w:tcMar>
          </w:tcPr>
          <w:p>
            <w:pPr>
              <w:jc w:val="left"/>
            </w:pPr>
            <w:r>
              <w:rPr>
                <w:b/>
                <w:bCs/>
                <w:color w:val="000000"/>
                <w:sz w:val="19"/>
                <w:szCs w:val="19"/>
              </w:rPr>
              <w:t xml:space="preserve">Treat “customer” as a security boundary for 3PL tenants</w:t>
            </w:r>
          </w:p>
        </w:tc>
        <w:tc>
          <w:tcPr>
            <w:tcW w:type="dxa" w:w="3100"/>
            <w:tcMar>
              <w:top w:type="dxa" w:w="80"/>
              <w:left w:type="dxa" w:w="100"/>
              <w:bottom w:type="dxa" w:w="80"/>
              <w:right w:type="dxa" w:w="100"/>
            </w:tcMar>
          </w:tcPr>
          <w:p>
            <w:pPr>
              <w:jc w:val="left"/>
            </w:pPr>
            <w:r>
              <w:rPr>
                <w:b w:val="false"/>
                <w:bCs w:val="false"/>
                <w:color w:val="000000"/>
                <w:sz w:val="19"/>
                <w:szCs w:val="19"/>
              </w:rPr>
              <w:t xml:space="preserve">Yes — already designed into the new authorisation model, just not switched on for real use yet</w:t>
            </w:r>
          </w:p>
        </w:tc>
        <w:tc>
          <w:tcPr>
            <w:tcW w:type="dxa" w:w="1700"/>
            <w:tcMar>
              <w:top w:type="dxa" w:w="80"/>
              <w:left w:type="dxa" w:w="100"/>
              <w:bottom w:type="dxa" w:w="80"/>
              <w:right w:type="dxa" w:w="100"/>
            </w:tcMar>
          </w:tcPr>
          <w:p>
            <w:pPr>
              <w:jc w:val="left"/>
            </w:pPr>
            <w:r>
              <w:rPr>
                <w:b w:val="false"/>
                <w:bCs w:val="false"/>
                <w:color w:val="000000"/>
                <w:sz w:val="19"/>
                <w:szCs w:val="19"/>
              </w:rPr>
              <w:t xml:space="preserve">Product owner + Security</w:t>
            </w:r>
          </w:p>
        </w:tc>
        <w:tc>
          <w:tcPr>
            <w:tcW w:type="dxa" w:w="2000"/>
            <w:tcMar>
              <w:top w:type="dxa" w:w="80"/>
              <w:left w:type="dxa" w:w="100"/>
              <w:bottom w:type="dxa" w:w="80"/>
              <w:right w:type="dxa" w:w="100"/>
            </w:tcMar>
          </w:tcPr>
          <w:p>
            <w:pPr>
              <w:jc w:val="left"/>
            </w:pPr>
            <w:r>
              <w:rPr>
                <w:b w:val="false"/>
                <w:bCs w:val="false"/>
                <w:color w:val="000000"/>
                <w:sz w:val="19"/>
                <w:szCs w:val="19"/>
              </w:rPr>
              <w:t xml:space="preserve">3PL customer-facing access in Phase 1/7</w:t>
            </w:r>
          </w:p>
        </w:tc>
      </w:tr>
      <w:tr>
        <w:tc>
          <w:tcPr>
            <w:tcW w:type="dxa" w:w="500"/>
            <w:shd w:fill="F2F5F8" w:color="auto" w:val="clear"/>
            <w:tcMar>
              <w:top w:type="dxa" w:w="80"/>
              <w:left w:type="dxa" w:w="100"/>
              <w:bottom w:type="dxa" w:w="80"/>
              <w:right w:type="dxa" w:w="100"/>
            </w:tcMar>
          </w:tcPr>
          <w:p>
            <w:pPr>
              <w:jc w:val="center"/>
            </w:pPr>
            <w:r>
              <w:rPr>
                <w:b w:val="false"/>
                <w:bCs w:val="false"/>
                <w:color w:val="000000"/>
                <w:sz w:val="19"/>
                <w:szCs w:val="19"/>
              </w:rPr>
              <w:t xml:space="preserve">8</w:t>
            </w:r>
          </w:p>
        </w:tc>
        <w:tc>
          <w:tcPr>
            <w:tcW w:type="dxa" w:w="2000"/>
            <w:shd w:fill="F2F5F8" w:color="auto" w:val="clear"/>
            <w:tcMar>
              <w:top w:type="dxa" w:w="80"/>
              <w:left w:type="dxa" w:w="100"/>
              <w:bottom w:type="dxa" w:w="80"/>
              <w:right w:type="dxa" w:w="100"/>
            </w:tcMar>
          </w:tcPr>
          <w:p>
            <w:pPr>
              <w:jc w:val="left"/>
            </w:pPr>
            <w:r>
              <w:rPr>
                <w:b/>
                <w:bCs/>
                <w:color w:val="000000"/>
                <w:sz w:val="19"/>
                <w:szCs w:val="19"/>
              </w:rPr>
              <w:t xml:space="preserve">Privileged support-access policy</w:t>
            </w:r>
          </w:p>
        </w:tc>
        <w:tc>
          <w:tcPr>
            <w:tcW w:type="dxa" w:w="3100"/>
            <w:shd w:fill="F2F5F8" w:color="auto" w:val="clear"/>
            <w:tcMar>
              <w:top w:type="dxa" w:w="80"/>
              <w:left w:type="dxa" w:w="100"/>
              <w:bottom w:type="dxa" w:w="80"/>
              <w:right w:type="dxa" w:w="100"/>
            </w:tcMar>
          </w:tcPr>
          <w:p>
            <w:pPr>
              <w:jc w:val="left"/>
            </w:pPr>
            <w:r>
              <w:rPr>
                <w:b w:val="false"/>
                <w:bCs w:val="false"/>
                <w:color w:val="000000"/>
                <w:sz w:val="19"/>
                <w:szCs w:val="19"/>
              </w:rPr>
              <w:t xml:space="preserve">Time-bound grants (recommend max 8 hours), reason required, always logged</w:t>
            </w:r>
          </w:p>
        </w:tc>
        <w:tc>
          <w:tcPr>
            <w:tcW w:type="dxa" w:w="1700"/>
            <w:shd w:fill="F2F5F8" w:color="auto" w:val="clear"/>
            <w:tcMar>
              <w:top w:type="dxa" w:w="80"/>
              <w:left w:type="dxa" w:w="100"/>
              <w:bottom w:type="dxa" w:w="80"/>
              <w:right w:type="dxa" w:w="100"/>
            </w:tcMar>
          </w:tcPr>
          <w:p>
            <w:pPr>
              <w:jc w:val="left"/>
            </w:pPr>
            <w:r>
              <w:rPr>
                <w:b w:val="false"/>
                <w:bCs w:val="false"/>
                <w:color w:val="000000"/>
                <w:sz w:val="19"/>
                <w:szCs w:val="19"/>
              </w:rPr>
              <w:t xml:space="preserve">CEO + Operations + Security</w:t>
            </w:r>
          </w:p>
        </w:tc>
        <w:tc>
          <w:tcPr>
            <w:tcW w:type="dxa" w:w="2000"/>
            <w:shd w:fill="F2F5F8" w:color="auto" w:val="clear"/>
            <w:tcMar>
              <w:top w:type="dxa" w:w="80"/>
              <w:left w:type="dxa" w:w="100"/>
              <w:bottom w:type="dxa" w:w="80"/>
              <w:right w:type="dxa" w:w="100"/>
            </w:tcMar>
          </w:tcPr>
          <w:p>
            <w:pPr>
              <w:jc w:val="left"/>
            </w:pPr>
            <w:r>
              <w:rPr>
                <w:b w:val="false"/>
                <w:bCs w:val="false"/>
                <w:color w:val="000000"/>
                <w:sz w:val="19"/>
                <w:szCs w:val="19"/>
              </w:rPr>
              <w:t xml:space="preserve">Any engineer support access to a live tenant</w:t>
            </w:r>
          </w:p>
        </w:tc>
      </w:tr>
      <w:tr>
        <w:tc>
          <w:tcPr>
            <w:tcW w:type="dxa" w:w="500"/>
            <w:tcMar>
              <w:top w:type="dxa" w:w="80"/>
              <w:left w:type="dxa" w:w="100"/>
              <w:bottom w:type="dxa" w:w="80"/>
              <w:right w:type="dxa" w:w="100"/>
            </w:tcMar>
          </w:tcPr>
          <w:p>
            <w:pPr>
              <w:jc w:val="center"/>
            </w:pPr>
            <w:r>
              <w:rPr>
                <w:b w:val="false"/>
                <w:bCs w:val="false"/>
                <w:color w:val="000000"/>
                <w:sz w:val="19"/>
                <w:szCs w:val="19"/>
              </w:rPr>
              <w:t xml:space="preserve">9</w:t>
            </w:r>
          </w:p>
        </w:tc>
        <w:tc>
          <w:tcPr>
            <w:tcW w:type="dxa" w:w="2000"/>
            <w:tcMar>
              <w:top w:type="dxa" w:w="80"/>
              <w:left w:type="dxa" w:w="100"/>
              <w:bottom w:type="dxa" w:w="80"/>
              <w:right w:type="dxa" w:w="100"/>
            </w:tcMar>
          </w:tcPr>
          <w:p>
            <w:pPr>
              <w:jc w:val="left"/>
            </w:pPr>
            <w:r>
              <w:rPr>
                <w:b/>
                <w:bCs/>
                <w:color w:val="000000"/>
                <w:sz w:val="19"/>
                <w:szCs w:val="19"/>
              </w:rPr>
              <w:t xml:space="preserve">Direct connector vs. a separate “Maestro” integration service</w:t>
            </w:r>
          </w:p>
        </w:tc>
        <w:tc>
          <w:tcPr>
            <w:tcW w:type="dxa" w:w="3100"/>
            <w:tcMar>
              <w:top w:type="dxa" w:w="80"/>
              <w:left w:type="dxa" w:w="100"/>
              <w:bottom w:type="dxa" w:w="80"/>
              <w:right w:type="dxa" w:w="100"/>
            </w:tcMar>
          </w:tcPr>
          <w:p>
            <w:pPr>
              <w:jc w:val="left"/>
            </w:pPr>
            <w:r>
              <w:rPr>
                <w:b w:val="false"/>
                <w:bCs w:val="false"/>
                <w:color w:val="000000"/>
                <w:sz w:val="19"/>
                <w:szCs w:val="19"/>
              </w:rPr>
              <w:t xml:space="preserve">Direct, for the pilot — no separate Maestro service exists to integrate with today</w:t>
            </w:r>
          </w:p>
        </w:tc>
        <w:tc>
          <w:tcPr>
            <w:tcW w:type="dxa" w:w="1700"/>
            <w:tcMar>
              <w:top w:type="dxa" w:w="80"/>
              <w:left w:type="dxa" w:w="100"/>
              <w:bottom w:type="dxa" w:w="80"/>
              <w:right w:type="dxa" w:w="100"/>
            </w:tcMar>
          </w:tcPr>
          <w:p>
            <w:pPr>
              <w:jc w:val="left"/>
            </w:pPr>
            <w:r>
              <w:rPr>
                <w:b w:val="false"/>
                <w:bCs w:val="false"/>
                <w:color w:val="000000"/>
                <w:sz w:val="19"/>
                <w:szCs w:val="19"/>
              </w:rPr>
              <w:t xml:space="preserve">Product owner + Technical lead</w:t>
            </w:r>
          </w:p>
        </w:tc>
        <w:tc>
          <w:tcPr>
            <w:tcW w:type="dxa" w:w="2000"/>
            <w:tcMar>
              <w:top w:type="dxa" w:w="80"/>
              <w:left w:type="dxa" w:w="100"/>
              <w:bottom w:type="dxa" w:w="80"/>
              <w:right w:type="dxa" w:w="100"/>
            </w:tcMar>
          </w:tcPr>
          <w:p>
            <w:pPr>
              <w:jc w:val="left"/>
            </w:pPr>
            <w:r>
              <w:rPr>
                <w:b w:val="false"/>
                <w:bCs w:val="false"/>
                <w:color w:val="000000"/>
                <w:sz w:val="19"/>
                <w:szCs w:val="19"/>
              </w:rPr>
              <w:t xml:space="preserve">Phase 3's integration architecture</w:t>
            </w:r>
          </w:p>
        </w:tc>
      </w:tr>
      <w:tr>
        <w:tc>
          <w:tcPr>
            <w:tcW w:type="dxa" w:w="500"/>
            <w:shd w:fill="F2F5F8" w:color="auto" w:val="clear"/>
            <w:tcMar>
              <w:top w:type="dxa" w:w="80"/>
              <w:left w:type="dxa" w:w="100"/>
              <w:bottom w:type="dxa" w:w="80"/>
              <w:right w:type="dxa" w:w="100"/>
            </w:tcMar>
          </w:tcPr>
          <w:p>
            <w:pPr>
              <w:jc w:val="center"/>
            </w:pPr>
            <w:r>
              <w:rPr>
                <w:b w:val="false"/>
                <w:bCs w:val="false"/>
                <w:color w:val="000000"/>
                <w:sz w:val="19"/>
                <w:szCs w:val="19"/>
              </w:rPr>
              <w:t xml:space="preserve">10</w:t>
            </w:r>
          </w:p>
        </w:tc>
        <w:tc>
          <w:tcPr>
            <w:tcW w:type="dxa" w:w="2000"/>
            <w:shd w:fill="F2F5F8" w:color="auto" w:val="clear"/>
            <w:tcMar>
              <w:top w:type="dxa" w:w="80"/>
              <w:left w:type="dxa" w:w="100"/>
              <w:bottom w:type="dxa" w:w="80"/>
              <w:right w:type="dxa" w:w="100"/>
            </w:tcMar>
          </w:tcPr>
          <w:p>
            <w:pPr>
              <w:jc w:val="left"/>
            </w:pPr>
            <w:r>
              <w:rPr>
                <w:b/>
                <w:bCs/>
                <w:color w:val="000000"/>
                <w:sz w:val="19"/>
                <w:szCs w:val="19"/>
              </w:rPr>
              <w:t xml:space="preserve">How far database-level tenant isolation extends (beyond tenant, to site)</w:t>
            </w:r>
          </w:p>
        </w:tc>
        <w:tc>
          <w:tcPr>
            <w:tcW w:type="dxa" w:w="3100"/>
            <w:shd w:fill="F2F5F8" w:color="auto" w:val="clear"/>
            <w:tcMar>
              <w:top w:type="dxa" w:w="80"/>
              <w:left w:type="dxa" w:w="100"/>
              <w:bottom w:type="dxa" w:w="80"/>
              <w:right w:type="dxa" w:w="100"/>
            </w:tcMar>
          </w:tcPr>
          <w:p>
            <w:pPr>
              <w:jc w:val="left"/>
            </w:pPr>
            <w:r>
              <w:rPr>
                <w:b w:val="false"/>
                <w:bCs w:val="false"/>
                <w:color w:val="000000"/>
                <w:sz w:val="19"/>
                <w:szCs w:val="19"/>
              </w:rPr>
              <w:t xml:space="preserve">Tenant + site; extend to customer/provider once decision 7 is exercised</w:t>
            </w:r>
          </w:p>
        </w:tc>
        <w:tc>
          <w:tcPr>
            <w:tcW w:type="dxa" w:w="1700"/>
            <w:shd w:fill="F2F5F8" w:color="auto" w:val="clear"/>
            <w:tcMar>
              <w:top w:type="dxa" w:w="80"/>
              <w:left w:type="dxa" w:w="100"/>
              <w:bottom w:type="dxa" w:w="80"/>
              <w:right w:type="dxa" w:w="100"/>
            </w:tcMar>
          </w:tcPr>
          <w:p>
            <w:pPr>
              <w:jc w:val="left"/>
            </w:pPr>
            <w:r>
              <w:rPr>
                <w:b w:val="false"/>
                <w:bCs w:val="false"/>
                <w:color w:val="000000"/>
                <w:sz w:val="19"/>
                <w:szCs w:val="19"/>
              </w:rPr>
              <w:t xml:space="preserve">Technical lead + DBA + Security</w:t>
            </w:r>
          </w:p>
        </w:tc>
        <w:tc>
          <w:tcPr>
            <w:tcW w:type="dxa" w:w="2000"/>
            <w:shd w:fill="F2F5F8" w:color="auto" w:val="clear"/>
            <w:tcMar>
              <w:top w:type="dxa" w:w="80"/>
              <w:left w:type="dxa" w:w="100"/>
              <w:bottom w:type="dxa" w:w="80"/>
              <w:right w:type="dxa" w:w="100"/>
            </w:tcMar>
          </w:tcPr>
          <w:p>
            <w:pPr>
              <w:jc w:val="left"/>
            </w:pPr>
            <w:r>
              <w:rPr>
                <w:b w:val="false"/>
                <w:bCs w:val="false"/>
                <w:color w:val="000000"/>
                <w:sz w:val="19"/>
                <w:szCs w:val="19"/>
              </w:rPr>
              <w:t xml:space="preserve">Phase 2's database security design</w:t>
            </w:r>
          </w:p>
        </w:tc>
      </w:tr>
    </w:tbl>
    <w:p>
      <w:pPr>
        <w:pStyle w:val="Heading3"/>
        <w:spacing w:after="100" w:before="200"/>
      </w:pPr>
      <w:r>
        <w:t xml:space="preserve">Two additional decisions are commercial, not technical</w:t>
      </w:r>
    </w:p>
    <w:p>
      <w:pPr>
        <w:pStyle w:val="ListParagraph"/>
        <w:numPr>
          <w:ilvl w:val="0"/>
          <w:numId w:val="2"/>
        </w:numPr>
        <w:spacing w:after="80"/>
      </w:pPr>
      <w:r>
        <w:rPr>
          <w:b/>
          <w:bCs/>
        </w:rPr>
        <w:t xml:space="preserve">Repository ownership and licensing: </w:t>
      </w:r>
      <w:r>
        <w:t xml:space="preserve">confirming the code is Ensemble's proprietary IP. Owner: CEO + Technical lead.</w:t>
      </w:r>
    </w:p>
    <w:p>
      <w:pPr>
        <w:pStyle w:val="ListParagraph"/>
        <w:numPr>
          <w:ilvl w:val="0"/>
          <w:numId w:val="2"/>
        </w:numPr>
        <w:spacing w:after="80"/>
      </w:pPr>
      <w:r>
        <w:rPr>
          <w:b/>
          <w:bCs/>
        </w:rPr>
        <w:t xml:space="preserve">First pilot customer, site, and success measures: </w:t>
      </w:r>
      <w:r>
        <w:t xml:space="preserve">which warehouse, which success criteria. Owner: CEO + Product owner. Nothing in Phase 9, and much of Phases 5–6, can be made concrete without this.</w:t>
      </w:r>
    </w:p>
    <w:p>
      <w:r>
        <w:br w:type="page"/>
      </w:r>
    </w:p>
    <w:p>
      <w:pPr>
        <w:pStyle w:val="Heading1"/>
        <w:spacing w:after="160" w:before="360"/>
      </w:pPr>
      <w:r>
        <w:t xml:space="preserve">4. Dependencies to resolve</w:t>
      </w:r>
    </w:p>
    <w:p>
      <w:pPr>
        <w:pStyle w:val="Heading2"/>
        <w:spacing w:after="120" w:before="280"/>
      </w:pPr>
      <w:r>
        <w:t xml:space="preserve">Access and infrastructure not available to this engineering effort</w:t>
      </w:r>
    </w:p>
    <w:p>
      <w:pPr>
        <w:pStyle w:val="ListParagraph"/>
        <w:numPr>
          <w:ilvl w:val="0"/>
          <w:numId w:val="2"/>
        </w:numPr>
        <w:spacing w:after="80"/>
      </w:pPr>
      <w:r>
        <w:rPr>
          <w:b/>
          <w:bCs/>
        </w:rPr>
        <w:t xml:space="preserve">GitHub organisation-administrator access: </w:t>
      </w:r>
      <w:r>
        <w:t xml:space="preserve">to make the repository private and enable branch-protection rules (Phase 0, items P0-01/P0-02). The engineering session has repository write access but not these organisation-level settings.</w:t>
      </w:r>
    </w:p>
    <w:p>
      <w:pPr>
        <w:pStyle w:val="ListParagraph"/>
        <w:numPr>
          <w:ilvl w:val="0"/>
          <w:numId w:val="2"/>
        </w:numPr>
        <w:spacing w:after="80"/>
      </w:pPr>
      <w:r>
        <w:rPr>
          <w:b/>
          <w:bCs/>
        </w:rPr>
        <w:t xml:space="preserve">An OCI account and Vault instance: </w:t>
      </w:r>
      <w:r>
        <w:t xml:space="preserve">for real secret storage, the message queue, and compute. Nothing in Phases 4, 8, or the remaining parts of Phase 2/3 can move from “designed and tested in isolation” to “running for real” without this.</w:t>
      </w:r>
    </w:p>
    <w:p>
      <w:pPr>
        <w:pStyle w:val="ListParagraph"/>
        <w:numPr>
          <w:ilvl w:val="0"/>
          <w:numId w:val="2"/>
        </w:numPr>
        <w:spacing w:after="80"/>
      </w:pPr>
      <w:r>
        <w:rPr>
          <w:b/>
          <w:bCs/>
        </w:rPr>
        <w:t xml:space="preserve">A real Oracle Autonomous Database instance: </w:t>
      </w:r>
      <w:r>
        <w:t xml:space="preserve">to validate the database driver, run real backup/recovery drills, and configure encryption at rest.</w:t>
      </w:r>
    </w:p>
    <w:p>
      <w:pPr>
        <w:pStyle w:val="ListParagraph"/>
        <w:numPr>
          <w:ilvl w:val="0"/>
          <w:numId w:val="2"/>
        </w:numPr>
        <w:spacing w:after="80"/>
      </w:pPr>
      <w:r>
        <w:rPr>
          <w:b/>
          <w:bCs/>
        </w:rPr>
        <w:t xml:space="preserve">An identity provider tenancy: </w:t>
      </w:r>
      <w:r>
        <w:t xml:space="preserve">OCI IAM Identity Domains (or the chosen alternative from decision 1), configured and ready to issue real tokens.</w:t>
      </w:r>
    </w:p>
    <w:p>
      <w:pPr>
        <w:pStyle w:val="ListParagraph"/>
        <w:numPr>
          <w:ilvl w:val="0"/>
          <w:numId w:val="2"/>
        </w:numPr>
        <w:spacing w:after="80"/>
      </w:pPr>
      <w:r>
        <w:rPr>
          <w:b/>
          <w:bCs/>
        </w:rPr>
        <w:t xml:space="preserve">Live vendor sandbox credentials: </w:t>
      </w:r>
      <w:r>
        <w:t xml:space="preserve">for the chosen rostering system and warehouse system, to certify the connectors against real behaviour rather than documentation.</w:t>
      </w:r>
    </w:p>
    <w:p>
      <w:pPr>
        <w:pStyle w:val="ListParagraph"/>
        <w:numPr>
          <w:ilvl w:val="0"/>
          <w:numId w:val="2"/>
        </w:numPr>
        <w:spacing w:after="80"/>
      </w:pPr>
      <w:r>
        <w:rPr>
          <w:b/>
          <w:bCs/>
        </w:rPr>
        <w:t xml:space="preserve">An observability platform: </w:t>
      </w:r>
      <w:r>
        <w:t xml:space="preserve">Datadog or an approved alternative, for the monitoring and alerting Phase 8 requires.</w:t>
      </w:r>
    </w:p>
    <w:p>
      <w:pPr>
        <w:pStyle w:val="Heading2"/>
        <w:spacing w:after="120" w:before="280"/>
      </w:pPr>
      <w:r>
        <w:t xml:space="preserve">People and process</w:t>
      </w:r>
    </w:p>
    <w:p>
      <w:pPr>
        <w:pStyle w:val="ListParagraph"/>
        <w:numPr>
          <w:ilvl w:val="0"/>
          <w:numId w:val="2"/>
        </w:numPr>
        <w:spacing w:after="80"/>
      </w:pPr>
      <w:r>
        <w:rPr>
          <w:b/>
          <w:bCs/>
        </w:rPr>
        <w:t xml:space="preserve">Named reviewers for CODEOWNERS: </w:t>
      </w:r>
      <w:r>
        <w:t xml:space="preserve">the file currently uses placeholder team names; real GitHub usernames or teams need to be assigned before it has any effect.</w:t>
      </w:r>
    </w:p>
    <w:p>
      <w:pPr>
        <w:pStyle w:val="ListParagraph"/>
        <w:numPr>
          <w:ilvl w:val="0"/>
          <w:numId w:val="2"/>
        </w:numPr>
        <w:spacing w:after="80"/>
      </w:pPr>
      <w:r>
        <w:rPr>
          <w:b/>
          <w:bCs/>
        </w:rPr>
        <w:t xml:space="preserve">A named pilot customer and site: </w:t>
      </w:r>
      <w:r>
        <w:t xml:space="preserve">the single largest open dependency — it gates the connector choice (decision 5), the writeback action (decision 6), and all of Phase 6 and 9.</w:t>
      </w:r>
    </w:p>
    <w:p>
      <w:pPr>
        <w:pStyle w:val="ListParagraph"/>
        <w:numPr>
          <w:ilvl w:val="0"/>
          <w:numId w:val="2"/>
        </w:numPr>
        <w:spacing w:after="80"/>
      </w:pPr>
      <w:r>
        <w:rPr>
          <w:b/>
          <w:bCs/>
        </w:rPr>
        <w:t xml:space="preserve">Sign-off on the ten Architecture Decision Records: </w:t>
      </w:r>
      <w:r>
        <w:t xml:space="preserve">by the named owners in Section 3, so the next phase of engineering work is building against approved decisions rather than provisional assumptions.</w:t>
      </w:r>
    </w:p>
    <w:p>
      <w:r>
        <w:br w:type="page"/>
      </w:r>
    </w:p>
    <w:p>
      <w:pPr>
        <w:pStyle w:val="Heading1"/>
        <w:spacing w:after="160" w:before="360"/>
      </w:pPr>
      <w:r>
        <w:t xml:space="preserve">5. Recommendation</w:t>
      </w:r>
    </w:p>
    <w:p>
      <w:pPr>
        <w:spacing w:after="140"/>
      </w:pPr>
      <w:r>
        <w:t xml:space="preserve">Pause the phase-by-phase engineering march here rather than continuing into Phase 4. Every phase from this point depends more heavily on the decisions in Section 3 — Phase 4 specifically cannot be built to its real target without decision 3 (queue technology). Continuing to build against provisional assumptions risks rework once real decisions land.</w:t>
      </w:r>
    </w:p>
    <w:p>
      <w:pPr>
        <w:spacing w:after="140"/>
      </w:pPr>
      <w:r>
        <w:t xml:space="preserve">The recommended immediate sequence:</w:t>
      </w:r>
    </w:p>
    <w:p>
      <w:pPr>
        <w:pStyle w:val="ListParagraph"/>
        <w:numPr>
          <w:ilvl w:val="0"/>
          <w:numId w:val="2"/>
        </w:numPr>
        <w:spacing w:after="80"/>
      </w:pPr>
      <w:r>
        <w:t xml:space="preserve">Route the ten ADRs to their named owners for approval (Section 3) — this can start immediately and does not block on anything else.</w:t>
      </w:r>
    </w:p>
    <w:p>
      <w:pPr>
        <w:pStyle w:val="ListParagraph"/>
        <w:numPr>
          <w:ilvl w:val="0"/>
          <w:numId w:val="2"/>
        </w:numPr>
        <w:spacing w:after="80"/>
      </w:pPr>
      <w:r>
        <w:t xml:space="preserve">Resolve the two Phase 0 items that need GitHub organisation-admin action (Section 4).</w:t>
      </w:r>
    </w:p>
    <w:p>
      <w:pPr>
        <w:pStyle w:val="ListParagraph"/>
        <w:numPr>
          <w:ilvl w:val="0"/>
          <w:numId w:val="2"/>
        </w:numPr>
        <w:spacing w:after="80"/>
      </w:pPr>
      <w:r>
        <w:t xml:space="preserve">Progress the pilot customer/site decision commercially — it is the single dependency with the widest downstream effect.</w:t>
      </w:r>
    </w:p>
    <w:p>
      <w:pPr>
        <w:pStyle w:val="ListParagraph"/>
        <w:numPr>
          <w:ilvl w:val="0"/>
          <w:numId w:val="2"/>
        </w:numPr>
        <w:spacing w:after="80"/>
      </w:pPr>
      <w:r>
        <w:t xml:space="preserve">Resume engineering on Phase 4 once decision 3 (queue technology) is approved, or explicitly instruct engineering to continue building the queue-technology-independent parts of Phase 4 in parallel if the delivery timeline requires it.</w:t>
      </w:r>
    </w:p>
    <w:p>
      <w:pPr>
        <w:pBdr>
          <w:bottom w:val="single" w:color="D9DEE4" w:sz="6" w:space="1"/>
        </w:pBdr>
        <w:spacing w:after="120" w:before="120"/>
      </w:pPr>
      <w:r>
        <w:t xml:space="preserve"/>
      </w:r>
    </w:p>
    <w:p>
      <w:pPr>
        <w:pStyle w:val="Heading2"/>
        <w:spacing w:after="120" w:before="280"/>
      </w:pPr>
      <w:r>
        <w:t xml:space="preserve">Where to find the detail</w:t>
      </w:r>
    </w:p>
    <w:p>
      <w:pPr>
        <w:spacing w:after="140"/>
      </w:pPr>
      <w:r>
        <w:t xml:space="preserve">All of the above is backed by real, checked-in artefacts in the repository (archivalg/Tempo, branch main):</w:t>
      </w:r>
    </w:p>
    <w:p>
      <w:pPr>
        <w:pStyle w:val="ListParagraph"/>
        <w:numPr>
          <w:ilvl w:val="0"/>
          <w:numId w:val="2"/>
        </w:numPr>
        <w:spacing w:after="80"/>
      </w:pPr>
      <w:r>
        <w:t xml:space="preserve">docs/adr/ — the ten Architecture Decision Records, in full, with README.md as an index.</w:t>
      </w:r>
    </w:p>
    <w:p>
      <w:pPr>
        <w:pStyle w:val="ListParagraph"/>
        <w:numPr>
          <w:ilvl w:val="0"/>
          <w:numId w:val="2"/>
        </w:numPr>
        <w:spacing w:after="80"/>
      </w:pPr>
      <w:r>
        <w:t xml:space="preserve">docs/pilot-charter.md, docs/environment-access-matrix.md — the Phase 0 draft templates.</w:t>
      </w:r>
    </w:p>
    <w:p>
      <w:pPr>
        <w:pStyle w:val="ListParagraph"/>
        <w:numPr>
          <w:ilvl w:val="0"/>
          <w:numId w:val="2"/>
        </w:numPr>
        <w:spacing w:after="80"/>
      </w:pPr>
      <w:r>
        <w:t xml:space="preserve">docs/tenant-isolation-inventory.md — the full Phase 1 tenant-isolation audit, including the fixed security bug.</w:t>
      </w:r>
    </w:p>
    <w:p>
      <w:pPr>
        <w:pStyle w:val="ListParagraph"/>
        <w:numPr>
          <w:ilvl w:val="0"/>
          <w:numId w:val="2"/>
        </w:numPr>
        <w:spacing w:after="80"/>
      </w:pPr>
      <w:r>
        <w:t xml:space="preserve">docs/sprint-review-mobilisation.md, docs/phase2-status.md, docs/phase3-status.md — the detailed status report written at the end of each phase.</w:t>
      </w:r>
    </w:p>
    <w:p>
      <w:pPr>
        <w:pStyle w:val="ListParagraph"/>
        <w:numPr>
          <w:ilvl w:val="0"/>
          <w:numId w:val="2"/>
        </w:numPr>
        <w:spacing w:after="80"/>
      </w:pPr>
      <w:r>
        <w:t xml:space="preserve">docs/schema-separation-design.md, docs/data-retention-policy.md — the Phase 2 design documents for items blocked on a real environment.</w:t>
      </w:r>
    </w:p>
    <w:p>
      <w:pPr>
        <w:spacing w:after="140"/>
      </w:pPr>
      <w:r>
        <w:t xml:space="preserve"/>
      </w:r>
    </w:p>
    <w:p>
      <w:pPr>
        <w:spacing w:after="140"/>
      </w:pPr>
      <w:r>
        <w:rPr>
          <w:i/>
          <w:iCs/>
          <w:color w:val="6B7280"/>
        </w:rPr>
        <w:t xml:space="preserve">This document is a summary for handover; the files above are the source of truth if any figure or claim here needs to be checked.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4C81" w:sz="8" w:space="4"/>
      </w:pBdr>
      <w:spacing w:after="160" w:before="360"/>
    </w:pPr>
    <w:rPr>
      <w:rFonts w:ascii="Calibri" w:cs="Calibri" w:eastAsia="Calibri" w:hAnsi="Calibri"/>
      <w:b/>
      <w:bCs/>
      <w:color w:val="0F4C81"/>
      <w:sz w:val="30"/>
      <w:szCs w:val="30"/>
    </w:rPr>
  </w:style>
  <w:style w:type="paragraph" w:styleId="Heading2">
    <w:name w:val="Heading 2"/>
    <w:basedOn w:val="Normal"/>
    <w:next w:val="Normal"/>
    <w:qFormat/>
    <w:rPr>
      <w:rFonts w:ascii="Calibri" w:cs="Calibri" w:eastAsia="Calibri" w:hAnsi="Calibri"/>
      <w:b/>
      <w:bCs/>
      <w:color w:val="1F2937"/>
      <w:sz w:val="25"/>
      <w:szCs w:val="25"/>
    </w:rPr>
  </w:style>
  <w:style w:type="paragraph" w:styleId="Heading3">
    <w:name w:val="Heading 3"/>
    <w:basedOn w:val="Normal"/>
    <w:next w:val="Normal"/>
    <w:qFormat/>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2026-09-10T22:22:37.084Z</dcterms:created>
  <dcterms:modified xsi:type="dcterms:W3CDTF">2026-09-10T22:22:37.084Z</dcterms:modified>
</cp:coreProperties>
</file>

<file path=docProps/custom.xml><?xml version="1.0" encoding="utf-8"?>
<Properties xmlns="http://schemas.openxmlformats.org/officeDocument/2006/custom-properties" xmlns:vt="http://schemas.openxmlformats.org/officeDocument/2006/docPropsVTypes"/>
</file>