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Tempo</w:t>
      </w:r>
    </w:p>
    <w:p>
      <w:pPr>
        <w:spacing w:after="40"/>
      </w:pPr>
      <w:r>
        <w:rPr>
          <w:color w:val="595959"/>
          <w:sz w:val="28"/>
          <w:szCs w:val="28"/>
        </w:rPr>
        <w:t xml:space="preserve">Business Specification</w:t>
      </w:r>
    </w:p>
    <w:p>
      <w:pPr>
        <w:pBdr>
          <w:bottom w:val="single" w:color="1F3864" w:sz="12" w:space="6"/>
        </w:pBdr>
        <w:spacing w:after="100"/>
      </w:pPr>
      <w:r>
        <w:rPr>
          <w:i/>
          <w:iCs/>
          <w:color w:val="595959"/>
          <w:sz w:val="18"/>
          <w:szCs w:val="18"/>
        </w:rPr>
        <w:t xml:space="preserve">Version 2.0 · Supersedes WIEP Business Spec v1.0 · 15 August 2026</w:t>
      </w:r>
    </w:p>
    <w:p>
      <w:pPr>
        <w:spacing w:after="130"/>
      </w:pPr>
      <w:r>
        <w:rPr>
          <w:i/>
          <w:iCs/>
          <w:color w:val="595959"/>
        </w:rPr>
        <w:t xml:space="preserve">Audience: Product Management, Engineering, UX, Data Science, Executive Team.</w:t>
      </w:r>
    </w:p>
    <w:p>
      <w:pPr>
        <w:pStyle w:val="Heading1"/>
        <w:spacing w:after="160" w:before="320"/>
      </w:pPr>
      <w:r>
        <w:t xml:space="preserve">1. Product Objective</w:t>
      </w:r>
    </w:p>
    <w:p>
      <w:pPr>
        <w:spacing w:after="130"/>
      </w:pPr>
      <w:r>
        <w:t xml:space="preserve">Deliver a multi-tenant AI labour optimisation platform for warehousing and 3PL operations that works whether time &amp; attendance is captured natively through Tempo or through an existing third-party system — and that functions either standalone or as the labour-domain backend for Prime AI's Labour Intelligence solution pack.</w:t>
      </w:r>
    </w:p>
    <w:p>
      <w:pPr>
        <w:pStyle w:val="Heading1"/>
        <w:spacing w:after="160" w:before="320"/>
      </w:pPr>
      <w:r>
        <w:t xml:space="preserve">2. Core Value Proposition</w:t>
      </w:r>
    </w:p>
    <w:p>
      <w:pPr>
        <w:spacing w:after="130"/>
      </w:pPr>
      <w:r>
        <w:t xml:space="preserve">Continuously answer, regardless of which system captured the underlying attendance data: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Who should work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Where they should work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What it will cost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How well it will perform</w:t>
      </w:r>
    </w:p>
    <w:p>
      <w:pPr>
        <w:pStyle w:val="Heading1"/>
        <w:spacing w:after="160" w:before="320"/>
      </w:pPr>
      <w:r>
        <w:t xml:space="preserve">3. Positioning</w:t>
      </w:r>
    </w:p>
    <w:p>
      <w:pPr>
        <w:spacing w:after="130"/>
      </w:pPr>
      <w:r>
        <w:t xml:space="preserve">Tempo is not positioned primarily as a Deputy/Kronos-displacing time &amp; attendance product. It is an optimisation engine that can run in two modes: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Sales motion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Standalone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Tempo's own capture (PIN/GPS/NFC/biometric clock-in) plus the full optimisation library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Displacement — for greenfield customers or those actively dissatisfied with an incumbent T&amp;A tool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Overlay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keeps their existing Kronos/UKG or Deputy deployment for clocking and payroll; Tempo's solvers run on top of that data via Maestro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No-displacement — sell the optimisation capability without asking the customer to migrate a system they've already paid to implement</w:t>
            </w:r>
          </w:p>
        </w:tc>
      </w:tr>
    </w:tbl>
    <w:p>
      <w:pPr>
        <w:spacing w:after="130"/>
      </w:pPr>
      <w:r>
        <w:t xml:space="preserve">Relationship to Prime AI: Tempo's solver library is the backend that Prime AI's Workforce Planning, Labour Optimisation, Skills &amp; Compliance, Cost-to-Serve, and Customer Profitability agents call via Maestro (see the Tempo × Prime AI Integration Specification). Tempo can also be sold and operated independently of Prime AI for customers not on that platform — the optimisation service has no hard dependency on Prime Brain.</w:t>
      </w:r>
    </w:p>
    <w:p>
      <w:pPr>
        <w:pStyle w:val="Heading1"/>
        <w:spacing w:after="160" w:before="320"/>
      </w:pPr>
      <w:r>
        <w:t xml:space="preserve">4. System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Capture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 native clock-in, OR third-party T&amp;A (Kronos/UKG, Deputy, extensible to others)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Canonical Data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Maestro Integration Platform — every capture source lands in one canonical event/entity model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Optimisation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Tempo Optimisation Service — 10-model solver library, source-agnostic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Consumption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Prime AI agents, Tempo's own operational console, or any authorised API client</w:t>
            </w:r>
          </w:p>
        </w:tc>
      </w:tr>
    </w:tbl>
    <w:p>
      <w:pPr>
        <w:pStyle w:val="Heading1"/>
        <w:spacing w:after="160" w:before="320"/>
      </w:pPr>
      <w:r>
        <w:t xml:space="preserve">5. Core Modules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Time &amp; Attendance (native capture path)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Scheduling / Roster Engine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Performance Engine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Workforce Mix Optimisation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Named Roster Optimisation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Intraday Labour Reallocation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Training &amp; Certification Coverage Optimisation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Leave &amp; RDO Planning Optimisation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Team Composition Optimisation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3PL Cost-to-Serve &amp; Margin Optimisation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Robust &amp; Scenario Optimisation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Real-Time Operations Console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Labour Hire Portal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Third-Party T&amp;A Connectors (Kronos/UKG, Deputy)</w:t>
      </w:r>
    </w:p>
    <w:p>
      <w:pPr>
        <w:pStyle w:val="Heading1"/>
        <w:spacing w:after="160" w:before="320"/>
      </w:pPr>
      <w:r>
        <w:t xml:space="preserve">6. AI / Optimisation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Demand Forecasting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Statistical / gradient-boosted models (GBM)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Labour Requirement Translation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Engineered work-content standards, calibrated from actuals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Workforce Mix Optimisation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MILP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Named Roster Optimisation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CP-SAT / MILP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Intraday Reallocation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Min-Cost Flow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 &amp; Certification Coverage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MILP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 &amp; RDO Planning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MILP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Composition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MILP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3PL Cost-to-Serve &amp; Margin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MILP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Robust / Scenario Planning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Monte Carlo simulation</w:t>
            </w:r>
          </w:p>
        </w:tc>
      </w:tr>
    </w:tbl>
    <w:p>
      <w:pPr>
        <w:spacing w:after="130"/>
      </w:pPr>
      <w:r>
        <w:rPr>
          <w:i/>
          <w:iCs/>
          <w:color w:val="595959"/>
          <w:sz w:val="19"/>
          <w:szCs w:val="19"/>
        </w:rPr>
        <w:t xml:space="preserve">Full mathematical formulations for every model are specified in the Tempo AI Labour Optimisation Spec (Appendix A).</w:t>
      </w:r>
    </w:p>
    <w:p>
      <w:pPr>
        <w:pStyle w:val="Heading1"/>
        <w:spacing w:after="160" w:before="320"/>
      </w:pPr>
      <w:r>
        <w:t xml:space="preserve">7. SaaS Requirements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Multi-tenancy, with an optional Company → Customer hierarchy for 3PLs serving their own customers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RBAC security, reconciled with Prime AI's role taxonomy where Tempo is deployed alongside Prime AI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Configurable rules, KPI weights, and constraints per tenant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Source-agnostic canonical data layer — no solver contains vendor-specific logic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Scalable architecture with dedicated compute for solver workloads, separate from request-serving infrastructure</w:t>
      </w:r>
    </w:p>
    <w:p>
      <w:pPr>
        <w:pStyle w:val="Heading1"/>
        <w:spacing w:after="160" w:before="320"/>
      </w:pPr>
      <w:r>
        <w:t xml:space="preserve">8. UX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need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Worker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 shifts, clock in/out correctly, get paid accurately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Cover shifts, manage exceptions, respond to live alerts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Operations Manager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Publish rosters, review AI recommendations, manage performance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Executive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 network performance, labour cost, and risk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Labour Provider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 supplied workers, certifications, shift assignments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 hierarchies, rules, integrations, feature access</w:t>
            </w:r>
          </w:p>
        </w:tc>
      </w:tr>
    </w:tbl>
    <w:p>
      <w:pPr>
        <w:pStyle w:val="Heading1"/>
        <w:spacing w:after="160" w:before="320"/>
      </w:pPr>
      <w:r>
        <w:t xml:space="preserve">9. MVP Success Criteria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Auto roster generation: AI generates a compliant, cost-optimal roster in under 60 seconds, targeting over 80% supervisor acceptance without manual changes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Labour cost reduction: a measured target (not a guarantee) of 15% reduction in total labour cost within 90 days of go-live, versus a 90-day pre-Tempo baseline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Real-time workforce visibility: every exception visible and actionable within 15 minutes of occurrence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Explainable AI recommendations: every recommendation carries baseline, proposed, delta, confidence, and primary drivers — per the shared explainability contract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Data-source parity: roster and mix recommendations must be equally reliable whether sourced from Tempo-native capture, Deputy, or UKG — confidence score must reflect any data-quality gap introduced by a third-party source, never silently degrade</w:t>
      </w:r>
    </w:p>
    <w:p>
      <w:pPr>
        <w:pStyle w:val="Heading1"/>
        <w:spacing w:after="160" w:before="320"/>
      </w:pPr>
      <w:r>
        <w:t xml:space="preserve">10. Relationship to Prime AI</w:t>
      </w:r>
    </w:p>
    <w:p>
      <w:pPr>
        <w:spacing w:after="130"/>
      </w:pPr>
      <w:r>
        <w:t xml:space="preserve">Full integration architecture, API contracts, and phased delivery plan are specified separately in the Tempo × Prime AI Integration Specification. This business specification treats that relationship as optional context: Tempo must be a complete, sellable product on its own, with Prime AI integration as an additive distribution channel rather than a dependency.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2026-08-14T23:10:28.175Z</dcterms:created>
  <dcterms:modified xsi:type="dcterms:W3CDTF">2026-08-14T23:10:28.201Z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