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8"/>
          <w:szCs w:val="48"/>
        </w:rPr>
        <w:t xml:space="preserve">Tempo</w:t>
      </w:r>
    </w:p>
    <w:p>
      <w:pPr>
        <w:spacing w:after="40"/>
      </w:pPr>
      <w:r>
        <w:rPr>
          <w:color w:val="595959"/>
          <w:sz w:val="28"/>
          <w:szCs w:val="28"/>
        </w:rPr>
        <w:t xml:space="preserve">AI Labour Optimisation for Warehousing — Product Strategy</w:t>
      </w:r>
    </w:p>
    <w:p>
      <w:pPr>
        <w:pBdr>
          <w:bottom w:val="single" w:color="1F3864" w:sz="12" w:space="6"/>
        </w:pBdr>
        <w:spacing w:after="100"/>
      </w:pPr>
      <w:r>
        <w:rPr>
          <w:i/>
          <w:iCs/>
          <w:color w:val="595959"/>
          <w:sz w:val="18"/>
          <w:szCs w:val="18"/>
        </w:rPr>
        <w:t xml:space="preserve">Version 2.0 · Supersedes WIEP Strategy v1.0 · 15 August 2026</w:t>
      </w:r>
    </w:p>
    <w:p>
      <w:pPr>
        <w:spacing w:after="130"/>
      </w:pPr>
      <w:r>
        <w:rPr>
          <w:i/>
          <w:iCs/>
          <w:color w:val="595959"/>
        </w:rPr>
        <w:t xml:space="preserve">CONFIDENTIAL · Internal Strategy Document</w:t>
      </w:r>
    </w:p>
    <w:p>
      <w:pPr>
        <w:pStyle w:val="Heading1"/>
        <w:spacing w:after="160" w:before="320"/>
      </w:pPr>
      <w:r>
        <w:t xml:space="preserve">1. Executive Summary</w:t>
      </w:r>
    </w:p>
    <w:p>
      <w:pPr>
        <w:spacing w:after="130"/>
      </w:pPr>
      <w:r>
        <w:t xml:space="preserve">Tempo is an AI-native labour optimisation engine for warehousing and 3PL operations, addressing a workforce management market estimated at $8.2B (external market estimate — see sourcing note, §2.1), split between high-cost enterprise incumbents (Kronos/UKG) and point solutions with no optimisation intelligence (Deputy, Humanity, Sling).</w:t>
      </w:r>
    </w:p>
    <w:p>
      <w:pPr>
        <w:spacing w:after="130"/>
      </w:pPr>
      <w:r>
        <w:t xml:space="preserve">Tempo's differentiation is not deployment speed relative to incumbents — it is optimisation intelligence that no incumbent ships, deployable with or without displacing the customer's existing T&amp;A system. This is a change from Tempo's original strategy (v1.0), which required full platform migration to capture any value. That constraint is removed: Tempo now runs in Standalone or Overlay mode (§3.1).</w:t>
      </w:r>
    </w:p>
    <w:p>
      <w:pPr>
        <w:spacing w:after="130"/>
      </w:pPr>
      <w:r>
        <w:rPr>
          <w:i/>
          <w:iCs/>
          <w:color w:val="595959"/>
          <w:sz w:val="19"/>
          <w:szCs w:val="19"/>
        </w:rPr>
        <w:t xml:space="preserve">Note on this revision: v1.0 of this document contained two conflicting headline ROI figures (900%+ and 2,430%) for the same scenario, an unsourced TAM and CAGR figures, GDPR compliance language applied to non-EU target markets, and a roadmap dated against 2025. This version corrects all four — see §5.1, §2.1, §6.4, and §7 respectively.</w:t>
      </w:r>
    </w:p>
    <w:p>
      <w:pPr>
        <w:pStyle w:val="Heading1"/>
        <w:spacing w:after="160" w:before="320"/>
      </w:pPr>
      <w:r>
        <w:t xml:space="preserve">2. Market Opportunity &amp; Competitive Landscape</w:t>
      </w:r>
    </w:p>
    <w:p>
      <w:pPr>
        <w:pStyle w:val="Heading2"/>
        <w:spacing w:after="100" w:before="220"/>
      </w:pPr>
      <w:r>
        <w:t xml:space="preserve">2.1 Total Addressable Market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500"/>
        <w:gridCol w:w="2000"/>
        <w:gridCol w:w="2000"/>
      </w:tblGrid>
      <w:tr>
        <w:trPr>
          <w:tblHeader/>
        </w:trPr>
        <w:tc>
          <w:tcPr>
            <w:tcW w:type="dxa" w:w="2600"/>
            <w:shd w:fill="1F3864" w:val="clear"/>
            <w:tcMar>
              <w:top w:type="dxa" w:w="80"/>
              <w:left w:type="dxa" w:w="100"/>
              <w:bottom w:type="dxa" w:w="80"/>
              <w:right w:type="dxa" w:w="100"/>
            </w:tcMar>
          </w:tcPr>
          <w:p>
            <w:pPr>
              <w:jc w:val="left"/>
            </w:pPr>
            <w:r>
              <w:rPr>
                <w:b/>
                <w:bCs/>
                <w:color w:val="FFFFFF"/>
                <w:sz w:val="19"/>
                <w:szCs w:val="19"/>
              </w:rPr>
              <w:t xml:space="preserve">Segment</w:t>
            </w:r>
          </w:p>
        </w:tc>
        <w:tc>
          <w:tcPr>
            <w:tcW w:type="dxa" w:w="1900"/>
            <w:shd w:fill="1F3864" w:val="clear"/>
            <w:tcMar>
              <w:top w:type="dxa" w:w="80"/>
              <w:left w:type="dxa" w:w="100"/>
              <w:bottom w:type="dxa" w:w="80"/>
              <w:right w:type="dxa" w:w="100"/>
            </w:tcMar>
          </w:tcPr>
          <w:p>
            <w:pPr>
              <w:jc w:val="left"/>
            </w:pPr>
            <w:r>
              <w:rPr>
                <w:b/>
                <w:bCs/>
                <w:color w:val="FFFFFF"/>
                <w:sz w:val="19"/>
                <w:szCs w:val="19"/>
              </w:rPr>
              <w:t xml:space="preserve">Market size (est.)</w:t>
            </w:r>
          </w:p>
        </w:tc>
        <w:tc>
          <w:tcPr>
            <w:tcW w:type="dxa" w:w="1500"/>
            <w:shd w:fill="1F3864" w:val="clear"/>
            <w:tcMar>
              <w:top w:type="dxa" w:w="80"/>
              <w:left w:type="dxa" w:w="100"/>
              <w:bottom w:type="dxa" w:w="80"/>
              <w:right w:type="dxa" w:w="100"/>
            </w:tcMar>
          </w:tcPr>
          <w:p>
            <w:pPr>
              <w:jc w:val="left"/>
            </w:pPr>
            <w:r>
              <w:rPr>
                <w:b/>
                <w:bCs/>
                <w:color w:val="FFFFFF"/>
                <w:sz w:val="19"/>
                <w:szCs w:val="19"/>
              </w:rPr>
              <w:t xml:space="preserve">CAGR (est.)</w:t>
            </w:r>
          </w:p>
        </w:tc>
        <w:tc>
          <w:tcPr>
            <w:tcW w:type="dxa" w:w="2000"/>
            <w:shd w:fill="1F3864" w:val="clear"/>
            <w:tcMar>
              <w:top w:type="dxa" w:w="80"/>
              <w:left w:type="dxa" w:w="100"/>
              <w:bottom w:type="dxa" w:w="80"/>
              <w:right w:type="dxa" w:w="100"/>
            </w:tcMar>
          </w:tcPr>
          <w:p>
            <w:pPr>
              <w:jc w:val="left"/>
            </w:pPr>
            <w:r>
              <w:rPr>
                <w:b/>
                <w:bCs/>
                <w:color w:val="FFFFFF"/>
                <w:sz w:val="19"/>
                <w:szCs w:val="19"/>
              </w:rPr>
              <w:t xml:space="preserve">Avg contract (est.)</w:t>
            </w:r>
          </w:p>
        </w:tc>
        <w:tc>
          <w:tcPr>
            <w:tcW w:type="dxa" w:w="2000"/>
            <w:shd w:fill="1F3864" w:val="clear"/>
            <w:tcMar>
              <w:top w:type="dxa" w:w="80"/>
              <w:left w:type="dxa" w:w="100"/>
              <w:bottom w:type="dxa" w:w="80"/>
              <w:right w:type="dxa" w:w="100"/>
            </w:tcMar>
          </w:tcPr>
          <w:p>
            <w:pPr>
              <w:jc w:val="left"/>
            </w:pPr>
            <w:r>
              <w:rPr>
                <w:b/>
                <w:bCs/>
                <w:color w:val="FFFFFF"/>
                <w:sz w:val="19"/>
                <w:szCs w:val="19"/>
              </w:rPr>
              <w:t xml:space="preserve">Tempo priority</w:t>
            </w:r>
          </w:p>
        </w:tc>
      </w:tr>
      <w:tr>
        <w:tc>
          <w:tcPr>
            <w:tcW w:type="dxa" w:w="2600"/>
            <w:shd w:fill="FFFFFF" w:val="clear"/>
            <w:tcMar>
              <w:top w:type="dxa" w:w="80"/>
              <w:left w:type="dxa" w:w="100"/>
              <w:bottom w:type="dxa" w:w="80"/>
              <w:right w:type="dxa" w:w="100"/>
            </w:tcMar>
          </w:tcPr>
          <w:p>
            <w:pPr>
              <w:jc w:val="left"/>
            </w:pPr>
            <w:r>
              <w:rPr>
                <w:b w:val="false"/>
                <w:bCs w:val="false"/>
                <w:color w:val="000000"/>
                <w:sz w:val="19"/>
                <w:szCs w:val="19"/>
              </w:rPr>
              <w:t xml:space="preserve">SMB (under 100 employees)</w:t>
            </w:r>
          </w:p>
        </w:tc>
        <w:tc>
          <w:tcPr>
            <w:tcW w:type="dxa" w:w="1900"/>
            <w:shd w:fill="FFFFFF" w:val="clear"/>
            <w:tcMar>
              <w:top w:type="dxa" w:w="80"/>
              <w:left w:type="dxa" w:w="100"/>
              <w:bottom w:type="dxa" w:w="80"/>
              <w:right w:type="dxa" w:w="100"/>
            </w:tcMar>
          </w:tcPr>
          <w:p>
            <w:pPr>
              <w:jc w:val="left"/>
            </w:pPr>
            <w:r>
              <w:rPr>
                <w:b w:val="false"/>
                <w:bCs w:val="false"/>
                <w:color w:val="000000"/>
                <w:sz w:val="19"/>
                <w:szCs w:val="19"/>
              </w:rPr>
              <w:t xml:space="preserve">$1.1B</w:t>
            </w:r>
          </w:p>
        </w:tc>
        <w:tc>
          <w:tcPr>
            <w:tcW w:type="dxa" w:w="1500"/>
            <w:shd w:fill="FFFFFF" w:val="clear"/>
            <w:tcMar>
              <w:top w:type="dxa" w:w="80"/>
              <w:left w:type="dxa" w:w="100"/>
              <w:bottom w:type="dxa" w:w="80"/>
              <w:right w:type="dxa" w:w="100"/>
            </w:tcMar>
          </w:tcPr>
          <w:p>
            <w:pPr>
              <w:jc w:val="left"/>
            </w:pPr>
            <w:r>
              <w:rPr>
                <w:b w:val="false"/>
                <w:bCs w:val="false"/>
                <w:color w:val="000000"/>
                <w:sz w:val="19"/>
                <w:szCs w:val="19"/>
              </w:rPr>
              <w:t xml:space="preserve">7.2%</w:t>
            </w:r>
          </w:p>
        </w:tc>
        <w:tc>
          <w:tcPr>
            <w:tcW w:type="dxa" w:w="2000"/>
            <w:shd w:fill="FFFFFF" w:val="clear"/>
            <w:tcMar>
              <w:top w:type="dxa" w:w="80"/>
              <w:left w:type="dxa" w:w="100"/>
              <w:bottom w:type="dxa" w:w="80"/>
              <w:right w:type="dxa" w:w="100"/>
            </w:tcMar>
          </w:tcPr>
          <w:p>
            <w:pPr>
              <w:jc w:val="left"/>
            </w:pPr>
            <w:r>
              <w:rPr>
                <w:b w:val="false"/>
                <w:bCs w:val="false"/>
                <w:color w:val="000000"/>
                <w:sz w:val="19"/>
                <w:szCs w:val="19"/>
              </w:rPr>
              <w:t xml:space="preserve">$1,200/yr</w:t>
            </w:r>
          </w:p>
        </w:tc>
        <w:tc>
          <w:tcPr>
            <w:tcW w:type="dxa" w:w="2000"/>
            <w:shd w:fill="FFFFFF" w:val="clear"/>
            <w:tcMar>
              <w:top w:type="dxa" w:w="80"/>
              <w:left w:type="dxa" w:w="100"/>
              <w:bottom w:type="dxa" w:w="80"/>
              <w:right w:type="dxa" w:w="100"/>
            </w:tcMar>
          </w:tcPr>
          <w:p>
            <w:pPr>
              <w:jc w:val="left"/>
            </w:pPr>
            <w:r>
              <w:rPr>
                <w:b w:val="false"/>
                <w:bCs w:val="false"/>
                <w:color w:val="000000"/>
                <w:sz w:val="19"/>
                <w:szCs w:val="19"/>
              </w:rPr>
              <w:t xml:space="preserve">Out of scope</w:t>
            </w:r>
          </w:p>
        </w:tc>
      </w:tr>
      <w:tr>
        <w:tc>
          <w:tcPr>
            <w:tcW w:type="dxa" w:w="2600"/>
            <w:shd w:fill="F2F2F2" w:val="clear"/>
            <w:tcMar>
              <w:top w:type="dxa" w:w="80"/>
              <w:left w:type="dxa" w:w="100"/>
              <w:bottom w:type="dxa" w:w="80"/>
              <w:right w:type="dxa" w:w="100"/>
            </w:tcMar>
          </w:tcPr>
          <w:p>
            <w:pPr>
              <w:jc w:val="left"/>
            </w:pPr>
            <w:r>
              <w:rPr>
                <w:b w:val="false"/>
                <w:bCs w:val="false"/>
                <w:color w:val="000000"/>
                <w:sz w:val="19"/>
                <w:szCs w:val="19"/>
              </w:rPr>
              <w:t xml:space="preserve">Mid-market (100–5,000 emp)</w:t>
            </w:r>
          </w:p>
        </w:tc>
        <w:tc>
          <w:tcPr>
            <w:tcW w:type="dxa" w:w="1900"/>
            <w:shd w:fill="F2F2F2" w:val="clear"/>
            <w:tcMar>
              <w:top w:type="dxa" w:w="80"/>
              <w:left w:type="dxa" w:w="100"/>
              <w:bottom w:type="dxa" w:w="80"/>
              <w:right w:type="dxa" w:w="100"/>
            </w:tcMar>
          </w:tcPr>
          <w:p>
            <w:pPr>
              <w:jc w:val="left"/>
            </w:pPr>
            <w:r>
              <w:rPr>
                <w:b w:val="false"/>
                <w:bCs w:val="false"/>
                <w:color w:val="000000"/>
                <w:sz w:val="19"/>
                <w:szCs w:val="19"/>
              </w:rPr>
              <w:t xml:space="preserve">$3.4B</w:t>
            </w:r>
          </w:p>
        </w:tc>
        <w:tc>
          <w:tcPr>
            <w:tcW w:type="dxa" w:w="1500"/>
            <w:shd w:fill="F2F2F2" w:val="clear"/>
            <w:tcMar>
              <w:top w:type="dxa" w:w="80"/>
              <w:left w:type="dxa" w:w="100"/>
              <w:bottom w:type="dxa" w:w="80"/>
              <w:right w:type="dxa" w:w="100"/>
            </w:tcMar>
          </w:tcPr>
          <w:p>
            <w:pPr>
              <w:jc w:val="left"/>
            </w:pPr>
            <w:r>
              <w:rPr>
                <w:b w:val="false"/>
                <w:bCs w:val="false"/>
                <w:color w:val="000000"/>
                <w:sz w:val="19"/>
                <w:szCs w:val="19"/>
              </w:rPr>
              <w:t xml:space="preserve">11.4%</w:t>
            </w:r>
          </w:p>
        </w:tc>
        <w:tc>
          <w:tcPr>
            <w:tcW w:type="dxa" w:w="2000"/>
            <w:shd w:fill="F2F2F2" w:val="clear"/>
            <w:tcMar>
              <w:top w:type="dxa" w:w="80"/>
              <w:left w:type="dxa" w:w="100"/>
              <w:bottom w:type="dxa" w:w="80"/>
              <w:right w:type="dxa" w:w="100"/>
            </w:tcMar>
          </w:tcPr>
          <w:p>
            <w:pPr>
              <w:jc w:val="left"/>
            </w:pPr>
            <w:r>
              <w:rPr>
                <w:b w:val="false"/>
                <w:bCs w:val="false"/>
                <w:color w:val="000000"/>
                <w:sz w:val="19"/>
                <w:szCs w:val="19"/>
              </w:rPr>
              <w:t xml:space="preserve">$28,000/yr</w:t>
            </w:r>
          </w:p>
        </w:tc>
        <w:tc>
          <w:tcPr>
            <w:tcW w:type="dxa" w:w="2000"/>
            <w:shd w:fill="F2F2F2" w:val="clear"/>
            <w:tcMar>
              <w:top w:type="dxa" w:w="80"/>
              <w:left w:type="dxa" w:w="100"/>
              <w:bottom w:type="dxa" w:w="80"/>
              <w:right w:type="dxa" w:w="100"/>
            </w:tcMar>
          </w:tcPr>
          <w:p>
            <w:pPr>
              <w:jc w:val="left"/>
            </w:pPr>
            <w:r>
              <w:rPr>
                <w:b w:val="false"/>
                <w:bCs w:val="false"/>
                <w:color w:val="000000"/>
                <w:sz w:val="19"/>
                <w:szCs w:val="19"/>
              </w:rPr>
              <w:t xml:space="preserve">Primary target</w:t>
            </w:r>
          </w:p>
        </w:tc>
      </w:tr>
      <w:tr>
        <w:tc>
          <w:tcPr>
            <w:tcW w:type="dxa" w:w="2600"/>
            <w:shd w:fill="FFFFFF" w:val="clear"/>
            <w:tcMar>
              <w:top w:type="dxa" w:w="80"/>
              <w:left w:type="dxa" w:w="100"/>
              <w:bottom w:type="dxa" w:w="80"/>
              <w:right w:type="dxa" w:w="100"/>
            </w:tcMar>
          </w:tcPr>
          <w:p>
            <w:pPr>
              <w:jc w:val="left"/>
            </w:pPr>
            <w:r>
              <w:rPr>
                <w:b w:val="false"/>
                <w:bCs w:val="false"/>
                <w:color w:val="000000"/>
                <w:sz w:val="19"/>
                <w:szCs w:val="19"/>
              </w:rPr>
              <w:t xml:space="preserve">Enterprise (5,000+ emp)</w:t>
            </w:r>
          </w:p>
        </w:tc>
        <w:tc>
          <w:tcPr>
            <w:tcW w:type="dxa" w:w="1900"/>
            <w:shd w:fill="FFFFFF" w:val="clear"/>
            <w:tcMar>
              <w:top w:type="dxa" w:w="80"/>
              <w:left w:type="dxa" w:w="100"/>
              <w:bottom w:type="dxa" w:w="80"/>
              <w:right w:type="dxa" w:w="100"/>
            </w:tcMar>
          </w:tcPr>
          <w:p>
            <w:pPr>
              <w:jc w:val="left"/>
            </w:pPr>
            <w:r>
              <w:rPr>
                <w:b w:val="false"/>
                <w:bCs w:val="false"/>
                <w:color w:val="000000"/>
                <w:sz w:val="19"/>
                <w:szCs w:val="19"/>
              </w:rPr>
              <w:t xml:space="preserve">$3.7B</w:t>
            </w:r>
          </w:p>
        </w:tc>
        <w:tc>
          <w:tcPr>
            <w:tcW w:type="dxa" w:w="1500"/>
            <w:shd w:fill="FFFFFF" w:val="clear"/>
            <w:tcMar>
              <w:top w:type="dxa" w:w="80"/>
              <w:left w:type="dxa" w:w="100"/>
              <w:bottom w:type="dxa" w:w="80"/>
              <w:right w:type="dxa" w:w="100"/>
            </w:tcMar>
          </w:tcPr>
          <w:p>
            <w:pPr>
              <w:jc w:val="left"/>
            </w:pPr>
            <w:r>
              <w:rPr>
                <w:b w:val="false"/>
                <w:bCs w:val="false"/>
                <w:color w:val="000000"/>
                <w:sz w:val="19"/>
                <w:szCs w:val="19"/>
              </w:rPr>
              <w:t xml:space="preserve">8.1%</w:t>
            </w:r>
          </w:p>
        </w:tc>
        <w:tc>
          <w:tcPr>
            <w:tcW w:type="dxa" w:w="2000"/>
            <w:shd w:fill="FFFFFF" w:val="clear"/>
            <w:tcMar>
              <w:top w:type="dxa" w:w="80"/>
              <w:left w:type="dxa" w:w="100"/>
              <w:bottom w:type="dxa" w:w="80"/>
              <w:right w:type="dxa" w:w="100"/>
            </w:tcMar>
          </w:tcPr>
          <w:p>
            <w:pPr>
              <w:jc w:val="left"/>
            </w:pPr>
            <w:r>
              <w:rPr>
                <w:b w:val="false"/>
                <w:bCs w:val="false"/>
                <w:color w:val="000000"/>
                <w:sz w:val="19"/>
                <w:szCs w:val="19"/>
              </w:rPr>
              <w:t xml:space="preserve">$180,000/yr</w:t>
            </w:r>
          </w:p>
        </w:tc>
        <w:tc>
          <w:tcPr>
            <w:tcW w:type="dxa" w:w="2000"/>
            <w:shd w:fill="FFFFFF" w:val="clear"/>
            <w:tcMar>
              <w:top w:type="dxa" w:w="80"/>
              <w:left w:type="dxa" w:w="100"/>
              <w:bottom w:type="dxa" w:w="80"/>
              <w:right w:type="dxa" w:w="100"/>
            </w:tcMar>
          </w:tcPr>
          <w:p>
            <w:pPr>
              <w:jc w:val="left"/>
            </w:pPr>
            <w:r>
              <w:rPr>
                <w:b w:val="false"/>
                <w:bCs w:val="false"/>
                <w:color w:val="000000"/>
                <w:sz w:val="19"/>
                <w:szCs w:val="19"/>
              </w:rPr>
              <w:t xml:space="preserve">Land and expand</w:t>
            </w:r>
          </w:p>
        </w:tc>
      </w:tr>
      <w:tr>
        <w:tc>
          <w:tcPr>
            <w:tcW w:type="dxa" w:w="2600"/>
            <w:shd w:fill="F2F2F2" w:val="clear"/>
            <w:tcMar>
              <w:top w:type="dxa" w:w="80"/>
              <w:left w:type="dxa" w:w="100"/>
              <w:bottom w:type="dxa" w:w="80"/>
              <w:right w:type="dxa" w:w="100"/>
            </w:tcMar>
          </w:tcPr>
          <w:p>
            <w:pPr>
              <w:jc w:val="left"/>
            </w:pPr>
            <w:r>
              <w:rPr>
                <w:b w:val="false"/>
                <w:bCs w:val="false"/>
                <w:color w:val="000000"/>
                <w:sz w:val="19"/>
                <w:szCs w:val="19"/>
              </w:rPr>
              <w:t xml:space="preserve">Warehousing vertical</w:t>
            </w:r>
          </w:p>
        </w:tc>
        <w:tc>
          <w:tcPr>
            <w:tcW w:type="dxa" w:w="1900"/>
            <w:shd w:fill="F2F2F2" w:val="clear"/>
            <w:tcMar>
              <w:top w:type="dxa" w:w="80"/>
              <w:left w:type="dxa" w:w="100"/>
              <w:bottom w:type="dxa" w:w="80"/>
              <w:right w:type="dxa" w:w="100"/>
            </w:tcMar>
          </w:tcPr>
          <w:p>
            <w:pPr>
              <w:jc w:val="left"/>
            </w:pPr>
            <w:r>
              <w:rPr>
                <w:b w:val="false"/>
                <w:bCs w:val="false"/>
                <w:color w:val="000000"/>
                <w:sz w:val="19"/>
                <w:szCs w:val="19"/>
              </w:rPr>
              <w:t xml:space="preserve">$890M</w:t>
            </w:r>
          </w:p>
        </w:tc>
        <w:tc>
          <w:tcPr>
            <w:tcW w:type="dxa" w:w="1500"/>
            <w:shd w:fill="F2F2F2" w:val="clear"/>
            <w:tcMar>
              <w:top w:type="dxa" w:w="80"/>
              <w:left w:type="dxa" w:w="100"/>
              <w:bottom w:type="dxa" w:w="80"/>
              <w:right w:type="dxa" w:w="100"/>
            </w:tcMar>
          </w:tcPr>
          <w:p>
            <w:pPr>
              <w:jc w:val="left"/>
            </w:pPr>
            <w:r>
              <w:rPr>
                <w:b w:val="false"/>
                <w:bCs w:val="false"/>
                <w:color w:val="000000"/>
                <w:sz w:val="19"/>
                <w:szCs w:val="19"/>
              </w:rPr>
              <w:t xml:space="preserve">18.2%</w:t>
            </w:r>
          </w:p>
        </w:tc>
        <w:tc>
          <w:tcPr>
            <w:tcW w:type="dxa" w:w="2000"/>
            <w:shd w:fill="F2F2F2" w:val="clear"/>
            <w:tcMar>
              <w:top w:type="dxa" w:w="80"/>
              <w:left w:type="dxa" w:w="100"/>
              <w:bottom w:type="dxa" w:w="80"/>
              <w:right w:type="dxa" w:w="100"/>
            </w:tcMar>
          </w:tcPr>
          <w:p>
            <w:pPr>
              <w:jc w:val="left"/>
            </w:pPr>
            <w:r>
              <w:rPr>
                <w:b w:val="false"/>
                <w:bCs w:val="false"/>
                <w:color w:val="000000"/>
                <w:sz w:val="19"/>
                <w:szCs w:val="19"/>
              </w:rPr>
              <w:t xml:space="preserve">$35,000/yr</w:t>
            </w:r>
          </w:p>
        </w:tc>
        <w:tc>
          <w:tcPr>
            <w:tcW w:type="dxa" w:w="2000"/>
            <w:shd w:fill="F2F2F2" w:val="clear"/>
            <w:tcMar>
              <w:top w:type="dxa" w:w="80"/>
              <w:left w:type="dxa" w:w="100"/>
              <w:bottom w:type="dxa" w:w="80"/>
              <w:right w:type="dxa" w:w="100"/>
            </w:tcMar>
          </w:tcPr>
          <w:p>
            <w:pPr>
              <w:jc w:val="left"/>
            </w:pPr>
            <w:r>
              <w:rPr>
                <w:b w:val="false"/>
                <w:bCs w:val="false"/>
                <w:color w:val="000000"/>
                <w:sz w:val="19"/>
                <w:szCs w:val="19"/>
              </w:rPr>
              <w:t xml:space="preserve">Beachhead</w:t>
            </w:r>
          </w:p>
        </w:tc>
      </w:tr>
    </w:tbl>
    <w:p>
      <w:pPr>
        <w:spacing w:after="130"/>
      </w:pPr>
      <w:r>
        <w:rPr>
          <w:i/>
          <w:iCs/>
          <w:color w:val="595959"/>
          <w:sz w:val="19"/>
          <w:szCs w:val="19"/>
        </w:rPr>
        <w:t xml:space="preserve">These figures are carried over from the v1.0 strategy deck and have not been independently re-sourced for this revision. They should be treated as directional estimates, not verified figures, until finance/market-research sign-off. This caveat did not appear in v1.0 and is a correction, not new information.</w:t>
      </w:r>
    </w:p>
    <w:p>
      <w:pPr>
        <w:pStyle w:val="Heading2"/>
        <w:spacing w:after="100" w:before="220"/>
      </w:pPr>
      <w:r>
        <w:t xml:space="preserve">2.2 Competitive Fit — Standalone vs. Overlay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500"/>
        <w:gridCol w:w="1300"/>
        <w:gridCol w:w="1700"/>
      </w:tblGrid>
      <w:tr>
        <w:trPr>
          <w:tblHeader/>
        </w:trPr>
        <w:tc>
          <w:tcPr>
            <w:tcW w:type="dxa" w:w="2600"/>
            <w:shd w:fill="1F3864" w:val="clear"/>
            <w:tcMar>
              <w:top w:type="dxa" w:w="80"/>
              <w:left w:type="dxa" w:w="100"/>
              <w:bottom w:type="dxa" w:w="80"/>
              <w:right w:type="dxa" w:w="100"/>
            </w:tcMar>
          </w:tcPr>
          <w:p>
            <w:pPr>
              <w:jc w:val="left"/>
            </w:pPr>
            <w:r>
              <w:rPr>
                <w:b/>
                <w:bCs/>
                <w:color w:val="FFFFFF"/>
                <w:sz w:val="19"/>
                <w:szCs w:val="19"/>
              </w:rPr>
              <w:t xml:space="preserve">Capability</w:t>
            </w:r>
          </w:p>
        </w:tc>
        <w:tc>
          <w:tcPr>
            <w:tcW w:type="dxa" w:w="1900"/>
            <w:shd w:fill="1F3864" w:val="clear"/>
            <w:tcMar>
              <w:top w:type="dxa" w:w="80"/>
              <w:left w:type="dxa" w:w="100"/>
              <w:bottom w:type="dxa" w:w="80"/>
              <w:right w:type="dxa" w:w="100"/>
            </w:tcMar>
          </w:tcPr>
          <w:p>
            <w:pPr>
              <w:jc w:val="left"/>
            </w:pPr>
            <w:r>
              <w:rPr>
                <w:b/>
                <w:bCs/>
                <w:color w:val="FFFFFF"/>
                <w:sz w:val="19"/>
                <w:szCs w:val="19"/>
              </w:rPr>
              <w:t xml:space="preserve">Tempo (Standalone)</w:t>
            </w:r>
          </w:p>
        </w:tc>
        <w:tc>
          <w:tcPr>
            <w:tcW w:type="dxa" w:w="2500"/>
            <w:shd w:fill="1F3864" w:val="clear"/>
            <w:tcMar>
              <w:top w:type="dxa" w:w="80"/>
              <w:left w:type="dxa" w:w="100"/>
              <w:bottom w:type="dxa" w:w="80"/>
              <w:right w:type="dxa" w:w="100"/>
            </w:tcMar>
          </w:tcPr>
          <w:p>
            <w:pPr>
              <w:jc w:val="left"/>
            </w:pPr>
            <w:r>
              <w:rPr>
                <w:b/>
                <w:bCs/>
                <w:color w:val="FFFFFF"/>
                <w:sz w:val="19"/>
                <w:szCs w:val="19"/>
              </w:rPr>
              <w:t xml:space="preserve">Tempo (Overlay on Kronos/Deputy)</w:t>
            </w:r>
          </w:p>
        </w:tc>
        <w:tc>
          <w:tcPr>
            <w:tcW w:type="dxa" w:w="1300"/>
            <w:shd w:fill="1F3864" w:val="clear"/>
            <w:tcMar>
              <w:top w:type="dxa" w:w="80"/>
              <w:left w:type="dxa" w:w="100"/>
              <w:bottom w:type="dxa" w:w="80"/>
              <w:right w:type="dxa" w:w="100"/>
            </w:tcMar>
          </w:tcPr>
          <w:p>
            <w:pPr>
              <w:jc w:val="left"/>
            </w:pPr>
            <w:r>
              <w:rPr>
                <w:b/>
                <w:bCs/>
                <w:color w:val="FFFFFF"/>
                <w:sz w:val="19"/>
                <w:szCs w:val="19"/>
              </w:rPr>
              <w:t xml:space="preserve">Deputy</w:t>
            </w:r>
          </w:p>
        </w:tc>
        <w:tc>
          <w:tcPr>
            <w:tcW w:type="dxa" w:w="1700"/>
            <w:shd w:fill="1F3864" w:val="clear"/>
            <w:tcMar>
              <w:top w:type="dxa" w:w="80"/>
              <w:left w:type="dxa" w:w="100"/>
              <w:bottom w:type="dxa" w:w="80"/>
              <w:right w:type="dxa" w:w="100"/>
            </w:tcMar>
          </w:tcPr>
          <w:p>
            <w:pPr>
              <w:jc w:val="left"/>
            </w:pPr>
            <w:r>
              <w:rPr>
                <w:b/>
                <w:bCs/>
                <w:color w:val="FFFFFF"/>
                <w:sz w:val="19"/>
                <w:szCs w:val="19"/>
              </w:rPr>
              <w:t xml:space="preserve">Kronos/UKG</w:t>
            </w:r>
          </w:p>
        </w:tc>
      </w:tr>
      <w:tr>
        <w:tc>
          <w:tcPr>
            <w:tcW w:type="dxa" w:w="2600"/>
            <w:shd w:fill="FFFFFF" w:val="clear"/>
            <w:tcMar>
              <w:top w:type="dxa" w:w="80"/>
              <w:left w:type="dxa" w:w="100"/>
              <w:bottom w:type="dxa" w:w="80"/>
              <w:right w:type="dxa" w:w="100"/>
            </w:tcMar>
          </w:tcPr>
          <w:p>
            <w:pPr>
              <w:jc w:val="left"/>
            </w:pPr>
            <w:r>
              <w:rPr>
                <w:b w:val="false"/>
                <w:bCs w:val="false"/>
                <w:color w:val="000000"/>
                <w:sz w:val="19"/>
                <w:szCs w:val="19"/>
              </w:rPr>
              <w:t xml:space="preserve">AI roster optimisation</w:t>
            </w:r>
          </w:p>
        </w:tc>
        <w:tc>
          <w:tcPr>
            <w:tcW w:type="dxa" w:w="1900"/>
            <w:shd w:fill="FFFFFF" w:val="clear"/>
            <w:tcMar>
              <w:top w:type="dxa" w:w="80"/>
              <w:left w:type="dxa" w:w="100"/>
              <w:bottom w:type="dxa" w:w="80"/>
              <w:right w:type="dxa" w:w="100"/>
            </w:tcMar>
          </w:tcPr>
          <w:p>
            <w:pPr>
              <w:jc w:val="left"/>
            </w:pPr>
            <w:r>
              <w:rPr>
                <w:b w:val="false"/>
                <w:bCs w:val="false"/>
                <w:color w:val="000000"/>
                <w:sz w:val="19"/>
                <w:szCs w:val="19"/>
              </w:rPr>
              <w:t xml:space="preserve">✓ CP-SAT</w:t>
            </w:r>
          </w:p>
        </w:tc>
        <w:tc>
          <w:tcPr>
            <w:tcW w:type="dxa" w:w="2500"/>
            <w:shd w:fill="FFFFFF" w:val="clear"/>
            <w:tcMar>
              <w:top w:type="dxa" w:w="80"/>
              <w:left w:type="dxa" w:w="100"/>
              <w:bottom w:type="dxa" w:w="80"/>
              <w:right w:type="dxa" w:w="100"/>
            </w:tcMar>
          </w:tcPr>
          <w:p>
            <w:pPr>
              <w:jc w:val="left"/>
            </w:pPr>
            <w:r>
              <w:rPr>
                <w:b w:val="false"/>
                <w:bCs w:val="false"/>
                <w:color w:val="000000"/>
                <w:sz w:val="19"/>
                <w:szCs w:val="19"/>
              </w:rPr>
              <w:t xml:space="preserve">✓ CP-SAT (via connector)</w:t>
            </w:r>
          </w:p>
        </w:tc>
        <w:tc>
          <w:tcPr>
            <w:tcW w:type="dxa" w:w="1300"/>
            <w:shd w:fill="FFFFFF" w:val="clear"/>
            <w:tcMar>
              <w:top w:type="dxa" w:w="80"/>
              <w:left w:type="dxa" w:w="100"/>
              <w:bottom w:type="dxa" w:w="80"/>
              <w:right w:type="dxa" w:w="100"/>
            </w:tcMar>
          </w:tcPr>
          <w:p>
            <w:pPr>
              <w:jc w:val="left"/>
            </w:pPr>
            <w:r>
              <w:rPr>
                <w:b w:val="false"/>
                <w:bCs w:val="false"/>
                <w:color w:val="000000"/>
                <w:sz w:val="19"/>
                <w:szCs w:val="19"/>
              </w:rPr>
              <w:t xml:space="preserve">✗</w:t>
            </w:r>
          </w:p>
        </w:tc>
        <w:tc>
          <w:tcPr>
            <w:tcW w:type="dxa" w:w="1700"/>
            <w:shd w:fill="FFFFFF" w:val="clear"/>
            <w:tcMar>
              <w:top w:type="dxa" w:w="80"/>
              <w:left w:type="dxa" w:w="100"/>
              <w:bottom w:type="dxa" w:w="80"/>
              <w:right w:type="dxa" w:w="100"/>
            </w:tcMar>
          </w:tcPr>
          <w:p>
            <w:pPr>
              <w:jc w:val="left"/>
            </w:pPr>
            <w:r>
              <w:rPr>
                <w:b w:val="false"/>
                <w:bCs w:val="false"/>
                <w:color w:val="000000"/>
                <w:sz w:val="19"/>
                <w:szCs w:val="19"/>
              </w:rPr>
              <w:t xml:space="preserve">Complex add-on</w:t>
            </w:r>
          </w:p>
        </w:tc>
      </w:tr>
      <w:tr>
        <w:tc>
          <w:tcPr>
            <w:tcW w:type="dxa" w:w="2600"/>
            <w:shd w:fill="F2F2F2" w:val="clear"/>
            <w:tcMar>
              <w:top w:type="dxa" w:w="80"/>
              <w:left w:type="dxa" w:w="100"/>
              <w:bottom w:type="dxa" w:w="80"/>
              <w:right w:type="dxa" w:w="100"/>
            </w:tcMar>
          </w:tcPr>
          <w:p>
            <w:pPr>
              <w:jc w:val="left"/>
            </w:pPr>
            <w:r>
              <w:rPr>
                <w:b w:val="false"/>
                <w:bCs w:val="false"/>
                <w:color w:val="000000"/>
                <w:sz w:val="19"/>
                <w:szCs w:val="19"/>
              </w:rPr>
              <w:t xml:space="preserve">Workforce mix optimisation</w:t>
            </w:r>
          </w:p>
        </w:tc>
        <w:tc>
          <w:tcPr>
            <w:tcW w:type="dxa" w:w="1900"/>
            <w:shd w:fill="F2F2F2" w:val="clear"/>
            <w:tcMar>
              <w:top w:type="dxa" w:w="80"/>
              <w:left w:type="dxa" w:w="100"/>
              <w:bottom w:type="dxa" w:w="80"/>
              <w:right w:type="dxa" w:w="100"/>
            </w:tcMar>
          </w:tcPr>
          <w:p>
            <w:pPr>
              <w:jc w:val="left"/>
            </w:pPr>
            <w:r>
              <w:rPr>
                <w:b w:val="false"/>
                <w:bCs w:val="false"/>
                <w:color w:val="000000"/>
                <w:sz w:val="19"/>
                <w:szCs w:val="19"/>
              </w:rPr>
              <w:t xml:space="preserve">✓ MILP</w:t>
            </w:r>
          </w:p>
        </w:tc>
        <w:tc>
          <w:tcPr>
            <w:tcW w:type="dxa" w:w="2500"/>
            <w:shd w:fill="F2F2F2" w:val="clear"/>
            <w:tcMar>
              <w:top w:type="dxa" w:w="80"/>
              <w:left w:type="dxa" w:w="100"/>
              <w:bottom w:type="dxa" w:w="80"/>
              <w:right w:type="dxa" w:w="100"/>
            </w:tcMar>
          </w:tcPr>
          <w:p>
            <w:pPr>
              <w:jc w:val="left"/>
            </w:pPr>
            <w:r>
              <w:rPr>
                <w:b w:val="false"/>
                <w:bCs w:val="false"/>
                <w:color w:val="000000"/>
                <w:sz w:val="19"/>
                <w:szCs w:val="19"/>
              </w:rPr>
              <w:t xml:space="preserve">✓ MILP (via connector)</w:t>
            </w:r>
          </w:p>
        </w:tc>
        <w:tc>
          <w:tcPr>
            <w:tcW w:type="dxa" w:w="1300"/>
            <w:shd w:fill="F2F2F2" w:val="clear"/>
            <w:tcMar>
              <w:top w:type="dxa" w:w="80"/>
              <w:left w:type="dxa" w:w="100"/>
              <w:bottom w:type="dxa" w:w="80"/>
              <w:right w:type="dxa" w:w="100"/>
            </w:tcMar>
          </w:tcPr>
          <w:p>
            <w:pPr>
              <w:jc w:val="left"/>
            </w:pPr>
            <w:r>
              <w:rPr>
                <w:b w:val="false"/>
                <w:bCs w:val="false"/>
                <w:color w:val="000000"/>
                <w:sz w:val="19"/>
                <w:szCs w:val="19"/>
              </w:rPr>
              <w:t xml:space="preserve">✗</w:t>
            </w:r>
          </w:p>
        </w:tc>
        <w:tc>
          <w:tcPr>
            <w:tcW w:type="dxa" w:w="1700"/>
            <w:shd w:fill="F2F2F2" w:val="clear"/>
            <w:tcMar>
              <w:top w:type="dxa" w:w="80"/>
              <w:left w:type="dxa" w:w="100"/>
              <w:bottom w:type="dxa" w:w="80"/>
              <w:right w:type="dxa" w:w="100"/>
            </w:tcMar>
          </w:tcPr>
          <w:p>
            <w:pPr>
              <w:jc w:val="left"/>
            </w:pPr>
            <w:r>
              <w:rPr>
                <w:b w:val="false"/>
                <w:bCs w:val="false"/>
                <w:color w:val="000000"/>
                <w:sz w:val="19"/>
                <w:szCs w:val="19"/>
              </w:rPr>
              <w:t xml:space="preserve">Partial</w:t>
            </w:r>
          </w:p>
        </w:tc>
      </w:tr>
      <w:tr>
        <w:tc>
          <w:tcPr>
            <w:tcW w:type="dxa" w:w="2600"/>
            <w:shd w:fill="FFFFFF" w:val="clear"/>
            <w:tcMar>
              <w:top w:type="dxa" w:w="80"/>
              <w:left w:type="dxa" w:w="100"/>
              <w:bottom w:type="dxa" w:w="80"/>
              <w:right w:type="dxa" w:w="100"/>
            </w:tcMar>
          </w:tcPr>
          <w:p>
            <w:pPr>
              <w:jc w:val="left"/>
            </w:pPr>
            <w:r>
              <w:rPr>
                <w:b w:val="false"/>
                <w:bCs w:val="false"/>
                <w:color w:val="000000"/>
                <w:sz w:val="19"/>
                <w:szCs w:val="19"/>
              </w:rPr>
              <w:t xml:space="preserve">Requires migration off existing T&amp;A?</w:t>
            </w:r>
          </w:p>
        </w:tc>
        <w:tc>
          <w:tcPr>
            <w:tcW w:type="dxa" w:w="1900"/>
            <w:shd w:fill="FFFFFF" w:val="clear"/>
            <w:tcMar>
              <w:top w:type="dxa" w:w="80"/>
              <w:left w:type="dxa" w:w="100"/>
              <w:bottom w:type="dxa" w:w="80"/>
              <w:right w:type="dxa" w:w="100"/>
            </w:tcMar>
          </w:tcPr>
          <w:p>
            <w:pPr>
              <w:jc w:val="left"/>
            </w:pPr>
            <w:r>
              <w:rPr>
                <w:b w:val="false"/>
                <w:bCs w:val="false"/>
                <w:color w:val="000000"/>
                <w:sz w:val="19"/>
                <w:szCs w:val="19"/>
              </w:rPr>
              <w:t xml:space="preserve">N/A — is the T&amp;A</w:t>
            </w:r>
          </w:p>
        </w:tc>
        <w:tc>
          <w:tcPr>
            <w:tcW w:type="dxa" w:w="2500"/>
            <w:shd w:fill="FFFFFF" w:val="clear"/>
            <w:tcMar>
              <w:top w:type="dxa" w:w="80"/>
              <w:left w:type="dxa" w:w="100"/>
              <w:bottom w:type="dxa" w:w="80"/>
              <w:right w:type="dxa" w:w="100"/>
            </w:tcMar>
          </w:tcPr>
          <w:p>
            <w:pPr>
              <w:jc w:val="left"/>
            </w:pPr>
            <w:r>
              <w:rPr>
                <w:b w:val="false"/>
                <w:bCs w:val="false"/>
                <w:color w:val="000000"/>
                <w:sz w:val="19"/>
                <w:szCs w:val="19"/>
              </w:rPr>
              <w:t xml:space="preserve">No</w:t>
            </w:r>
          </w:p>
        </w:tc>
        <w:tc>
          <w:tcPr>
            <w:tcW w:type="dxa" w:w="1300"/>
            <w:shd w:fill="FFFFFF" w:val="clear"/>
            <w:tcMar>
              <w:top w:type="dxa" w:w="80"/>
              <w:left w:type="dxa" w:w="100"/>
              <w:bottom w:type="dxa" w:w="80"/>
              <w:right w:type="dxa" w:w="100"/>
            </w:tcMar>
          </w:tcPr>
          <w:p>
            <w:pPr>
              <w:jc w:val="left"/>
            </w:pPr>
            <w:r>
              <w:rPr>
                <w:b w:val="false"/>
                <w:bCs w:val="false"/>
                <w:color w:val="000000"/>
                <w:sz w:val="19"/>
                <w:szCs w:val="19"/>
              </w:rPr>
              <w:t xml:space="preserve">—</w:t>
            </w:r>
          </w:p>
        </w:tc>
        <w:tc>
          <w:tcPr>
            <w:tcW w:type="dxa" w:w="1700"/>
            <w:shd w:fill="FFFFFF" w:val="clear"/>
            <w:tcMar>
              <w:top w:type="dxa" w:w="80"/>
              <w:left w:type="dxa" w:w="100"/>
              <w:bottom w:type="dxa" w:w="80"/>
              <w:right w:type="dxa" w:w="100"/>
            </w:tcMar>
          </w:tcPr>
          <w:p>
            <w:pPr>
              <w:jc w:val="left"/>
            </w:pPr>
            <w:r>
              <w:rPr>
                <w:b w:val="false"/>
                <w:bCs w:val="false"/>
                <w:color w:val="000000"/>
                <w:sz w:val="19"/>
                <w:szCs w:val="19"/>
              </w:rPr>
              <w:t xml:space="preserve">—</w:t>
            </w:r>
          </w:p>
        </w:tc>
      </w:tr>
      <w:tr>
        <w:tc>
          <w:tcPr>
            <w:tcW w:type="dxa" w:w="2600"/>
            <w:shd w:fill="F2F2F2" w:val="clear"/>
            <w:tcMar>
              <w:top w:type="dxa" w:w="80"/>
              <w:left w:type="dxa" w:w="100"/>
              <w:bottom w:type="dxa" w:w="80"/>
              <w:right w:type="dxa" w:w="100"/>
            </w:tcMar>
          </w:tcPr>
          <w:p>
            <w:pPr>
              <w:jc w:val="left"/>
            </w:pPr>
            <w:r>
              <w:rPr>
                <w:b w:val="false"/>
                <w:bCs w:val="false"/>
                <w:color w:val="000000"/>
                <w:sz w:val="19"/>
                <w:szCs w:val="19"/>
              </w:rPr>
              <w:t xml:space="preserve">Deploy time</w:t>
            </w:r>
          </w:p>
        </w:tc>
        <w:tc>
          <w:tcPr>
            <w:tcW w:type="dxa" w:w="1900"/>
            <w:shd w:fill="F2F2F2" w:val="clear"/>
            <w:tcMar>
              <w:top w:type="dxa" w:w="80"/>
              <w:left w:type="dxa" w:w="100"/>
              <w:bottom w:type="dxa" w:w="80"/>
              <w:right w:type="dxa" w:w="100"/>
            </w:tcMar>
          </w:tcPr>
          <w:p>
            <w:pPr>
              <w:jc w:val="left"/>
            </w:pPr>
            <w:r>
              <w:rPr>
                <w:b w:val="false"/>
                <w:bCs w:val="false"/>
                <w:color w:val="000000"/>
                <w:sz w:val="19"/>
                <w:szCs w:val="19"/>
              </w:rPr>
              <w:t xml:space="preserve">5 days</w:t>
            </w:r>
          </w:p>
        </w:tc>
        <w:tc>
          <w:tcPr>
            <w:tcW w:type="dxa" w:w="2500"/>
            <w:shd w:fill="F2F2F2" w:val="clear"/>
            <w:tcMar>
              <w:top w:type="dxa" w:w="80"/>
              <w:left w:type="dxa" w:w="100"/>
              <w:bottom w:type="dxa" w:w="80"/>
              <w:right w:type="dxa" w:w="100"/>
            </w:tcMar>
          </w:tcPr>
          <w:p>
            <w:pPr>
              <w:jc w:val="left"/>
            </w:pPr>
            <w:r>
              <w:rPr>
                <w:b w:val="false"/>
                <w:bCs w:val="false"/>
                <w:color w:val="000000"/>
                <w:sz w:val="19"/>
                <w:szCs w:val="19"/>
              </w:rPr>
              <w:t xml:space="preserve">Days (Deputy) to weeks (UKG, product-line dependent)</w:t>
            </w:r>
          </w:p>
        </w:tc>
        <w:tc>
          <w:tcPr>
            <w:tcW w:type="dxa" w:w="1300"/>
            <w:shd w:fill="F2F2F2" w:val="clear"/>
            <w:tcMar>
              <w:top w:type="dxa" w:w="80"/>
              <w:left w:type="dxa" w:w="100"/>
              <w:bottom w:type="dxa" w:w="80"/>
              <w:right w:type="dxa" w:w="100"/>
            </w:tcMar>
          </w:tcPr>
          <w:p>
            <w:pPr>
              <w:jc w:val="left"/>
            </w:pPr>
            <w:r>
              <w:rPr>
                <w:b w:val="false"/>
                <w:bCs w:val="false"/>
                <w:color w:val="000000"/>
                <w:sz w:val="19"/>
                <w:szCs w:val="19"/>
              </w:rPr>
              <w:t xml:space="preserve">1–2 weeks</w:t>
            </w:r>
          </w:p>
        </w:tc>
        <w:tc>
          <w:tcPr>
            <w:tcW w:type="dxa" w:w="1700"/>
            <w:shd w:fill="F2F2F2" w:val="clear"/>
            <w:tcMar>
              <w:top w:type="dxa" w:w="80"/>
              <w:left w:type="dxa" w:w="100"/>
              <w:bottom w:type="dxa" w:w="80"/>
              <w:right w:type="dxa" w:w="100"/>
            </w:tcMar>
          </w:tcPr>
          <w:p>
            <w:pPr>
              <w:jc w:val="left"/>
            </w:pPr>
            <w:r>
              <w:rPr>
                <w:b w:val="false"/>
                <w:bCs w:val="false"/>
                <w:color w:val="000000"/>
                <w:sz w:val="19"/>
                <w:szCs w:val="19"/>
              </w:rPr>
              <w:t xml:space="preserve">6–18 months</w:t>
            </w:r>
          </w:p>
        </w:tc>
      </w:tr>
    </w:tbl>
    <w:p>
      <w:pPr>
        <w:spacing w:after="130"/>
      </w:pPr>
      <w:r>
        <w:t xml:space="preserve">This table replaces the v1.0 “why every incumbent loses” framing. Tempo does not need to beat Deputy or Kronos on their own ground (T&amp;A capture, payroll integration) — it wins by offering optimisation capability neither vendor has, whether or not the customer keeps their existing system.</w:t>
      </w:r>
    </w:p>
    <w:p>
      <w:pPr>
        <w:pStyle w:val="Heading1"/>
        <w:spacing w:after="160" w:before="320"/>
      </w:pPr>
      <w:r>
        <w:t xml:space="preserve">3. Product Vision &amp; Architecture</w:t>
      </w:r>
    </w:p>
    <w:p>
      <w:pPr>
        <w:pStyle w:val="Heading2"/>
        <w:spacing w:after="100" w:before="220"/>
      </w:pPr>
      <w:r>
        <w:t xml:space="preserve">3.1 Two Deployment Modes</w:t>
      </w:r>
    </w:p>
    <w:p>
      <w:pPr>
        <w:spacing w:after="130"/>
      </w:pPr>
      <w:r>
        <w:t xml:space="preserve">Standalone: Tempo's own capture plus the full optimisation library, for customers without an existing T&amp;A system or actively replacing one. Overlay: the customer keeps Kronos/UKG or Deputy for clocking and payroll; Tempo connects via Maestro and runs the optimisation library on that data. Both modes reach the identical solver library — see §4.</w:t>
      </w:r>
    </w:p>
    <w:p>
      <w:pPr>
        <w:pStyle w:val="Heading2"/>
        <w:spacing w:after="100" w:before="220"/>
      </w:pPr>
      <w:r>
        <w:t xml:space="preserve">3.2 Platform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80"/>
              <w:left w:type="dxa" w:w="100"/>
              <w:bottom w:type="dxa" w:w="80"/>
              <w:right w:type="dxa" w:w="100"/>
            </w:tcMar>
          </w:tcPr>
          <w:p>
            <w:pPr>
              <w:jc w:val="left"/>
            </w:pPr>
            <w:r>
              <w:rPr>
                <w:b/>
                <w:bCs/>
                <w:color w:val="FFFFFF"/>
                <w:sz w:val="19"/>
                <w:szCs w:val="19"/>
              </w:rPr>
              <w:t xml:space="preserve">Layer</w:t>
            </w:r>
          </w:p>
        </w:tc>
        <w:tc>
          <w:tcPr>
            <w:tcW w:type="dxa" w:w="6400"/>
            <w:shd w:fill="1F3864" w:val="clear"/>
            <w:tcMar>
              <w:top w:type="dxa" w:w="80"/>
              <w:left w:type="dxa" w:w="100"/>
              <w:bottom w:type="dxa" w:w="80"/>
              <w:right w:type="dxa" w:w="100"/>
            </w:tcMar>
          </w:tcPr>
          <w:p>
            <w:pPr>
              <w:jc w:val="left"/>
            </w:pPr>
            <w:r>
              <w:rPr>
                <w:b/>
                <w:bCs/>
                <w:color w:val="FFFFFF"/>
                <w:sz w:val="19"/>
                <w:szCs w:val="19"/>
              </w:rPr>
              <w:t xml:space="preserve">Description</w:t>
            </w:r>
          </w:p>
        </w:tc>
      </w:tr>
      <w:tr>
        <w:tc>
          <w:tcPr>
            <w:tcW w:type="dxa" w:w="2600"/>
            <w:shd w:fill="FFFFFF" w:val="clear"/>
            <w:tcMar>
              <w:top w:type="dxa" w:w="80"/>
              <w:left w:type="dxa" w:w="100"/>
              <w:bottom w:type="dxa" w:w="80"/>
              <w:right w:type="dxa" w:w="100"/>
            </w:tcMar>
          </w:tcPr>
          <w:p>
            <w:pPr>
              <w:jc w:val="left"/>
            </w:pPr>
            <w:r>
              <w:rPr>
                <w:b w:val="false"/>
                <w:bCs w:val="false"/>
                <w:color w:val="000000"/>
                <w:sz w:val="19"/>
                <w:szCs w:val="19"/>
              </w:rPr>
              <w:t xml:space="preserve">Capture</w:t>
            </w:r>
          </w:p>
        </w:tc>
        <w:tc>
          <w:tcPr>
            <w:tcW w:type="dxa" w:w="6400"/>
            <w:shd w:fill="FFFFFF" w:val="clear"/>
            <w:tcMar>
              <w:top w:type="dxa" w:w="80"/>
              <w:left w:type="dxa" w:w="100"/>
              <w:bottom w:type="dxa" w:w="80"/>
              <w:right w:type="dxa" w:w="100"/>
            </w:tcMar>
          </w:tcPr>
          <w:p>
            <w:pPr>
              <w:jc w:val="left"/>
            </w:pPr>
            <w:r>
              <w:rPr>
                <w:b w:val="false"/>
                <w:bCs w:val="false"/>
                <w:color w:val="000000"/>
                <w:sz w:val="19"/>
                <w:szCs w:val="19"/>
              </w:rPr>
              <w:t xml:space="preserve">Tempo native, or Kronos/UKG, or Deputy — pluggable</w:t>
            </w:r>
          </w:p>
        </w:tc>
      </w:tr>
      <w:tr>
        <w:tc>
          <w:tcPr>
            <w:tcW w:type="dxa" w:w="2600"/>
            <w:shd w:fill="F2F2F2" w:val="clear"/>
            <w:tcMar>
              <w:top w:type="dxa" w:w="80"/>
              <w:left w:type="dxa" w:w="100"/>
              <w:bottom w:type="dxa" w:w="80"/>
              <w:right w:type="dxa" w:w="100"/>
            </w:tcMar>
          </w:tcPr>
          <w:p>
            <w:pPr>
              <w:jc w:val="left"/>
            </w:pPr>
            <w:r>
              <w:rPr>
                <w:b w:val="false"/>
                <w:bCs w:val="false"/>
                <w:color w:val="000000"/>
                <w:sz w:val="19"/>
                <w:szCs w:val="19"/>
              </w:rPr>
              <w:t xml:space="preserve">Canonical Data (Maestro)</w:t>
            </w:r>
          </w:p>
        </w:tc>
        <w:tc>
          <w:tcPr>
            <w:tcW w:type="dxa" w:w="6400"/>
            <w:shd w:fill="F2F2F2" w:val="clear"/>
            <w:tcMar>
              <w:top w:type="dxa" w:w="80"/>
              <w:left w:type="dxa" w:w="100"/>
              <w:bottom w:type="dxa" w:w="80"/>
              <w:right w:type="dxa" w:w="100"/>
            </w:tcMar>
          </w:tcPr>
          <w:p>
            <w:pPr>
              <w:jc w:val="left"/>
            </w:pPr>
            <w:r>
              <w:rPr>
                <w:b w:val="false"/>
                <w:bCs w:val="false"/>
                <w:color w:val="000000"/>
                <w:sz w:val="19"/>
                <w:szCs w:val="19"/>
              </w:rPr>
              <w:t xml:space="preserve">Single canonical event/entity model regardless of source</w:t>
            </w:r>
          </w:p>
        </w:tc>
      </w:tr>
      <w:tr>
        <w:tc>
          <w:tcPr>
            <w:tcW w:type="dxa" w:w="2600"/>
            <w:shd w:fill="FFFFFF" w:val="clear"/>
            <w:tcMar>
              <w:top w:type="dxa" w:w="80"/>
              <w:left w:type="dxa" w:w="100"/>
              <w:bottom w:type="dxa" w:w="80"/>
              <w:right w:type="dxa" w:w="100"/>
            </w:tcMar>
          </w:tcPr>
          <w:p>
            <w:pPr>
              <w:jc w:val="left"/>
            </w:pPr>
            <w:r>
              <w:rPr>
                <w:b w:val="false"/>
                <w:bCs w:val="false"/>
                <w:color w:val="000000"/>
                <w:sz w:val="19"/>
                <w:szCs w:val="19"/>
              </w:rPr>
              <w:t xml:space="preserve">Optimisation</w:t>
            </w:r>
          </w:p>
        </w:tc>
        <w:tc>
          <w:tcPr>
            <w:tcW w:type="dxa" w:w="6400"/>
            <w:shd w:fill="FFFFFF" w:val="clear"/>
            <w:tcMar>
              <w:top w:type="dxa" w:w="80"/>
              <w:left w:type="dxa" w:w="100"/>
              <w:bottom w:type="dxa" w:w="80"/>
              <w:right w:type="dxa" w:w="100"/>
            </w:tcMar>
          </w:tcPr>
          <w:p>
            <w:pPr>
              <w:jc w:val="left"/>
            </w:pPr>
            <w:r>
              <w:rPr>
                <w:b w:val="false"/>
                <w:bCs w:val="false"/>
                <w:color w:val="000000"/>
                <w:sz w:val="19"/>
                <w:szCs w:val="19"/>
              </w:rPr>
              <w:t xml:space="preserve">10-model solver library (§4)</w:t>
            </w:r>
          </w:p>
        </w:tc>
      </w:tr>
      <w:tr>
        <w:tc>
          <w:tcPr>
            <w:tcW w:type="dxa" w:w="2600"/>
            <w:shd w:fill="F2F2F2" w:val="clear"/>
            <w:tcMar>
              <w:top w:type="dxa" w:w="80"/>
              <w:left w:type="dxa" w:w="100"/>
              <w:bottom w:type="dxa" w:w="80"/>
              <w:right w:type="dxa" w:w="100"/>
            </w:tcMar>
          </w:tcPr>
          <w:p>
            <w:pPr>
              <w:jc w:val="left"/>
            </w:pPr>
            <w:r>
              <w:rPr>
                <w:b w:val="false"/>
                <w:bCs w:val="false"/>
                <w:color w:val="000000"/>
                <w:sz w:val="19"/>
                <w:szCs w:val="19"/>
              </w:rPr>
              <w:t xml:space="preserve">Consumption</w:t>
            </w:r>
          </w:p>
        </w:tc>
        <w:tc>
          <w:tcPr>
            <w:tcW w:type="dxa" w:w="6400"/>
            <w:shd w:fill="F2F2F2" w:val="clear"/>
            <w:tcMar>
              <w:top w:type="dxa" w:w="80"/>
              <w:left w:type="dxa" w:w="100"/>
              <w:bottom w:type="dxa" w:w="80"/>
              <w:right w:type="dxa" w:w="100"/>
            </w:tcMar>
          </w:tcPr>
          <w:p>
            <w:pPr>
              <w:jc w:val="left"/>
            </w:pPr>
            <w:r>
              <w:rPr>
                <w:b w:val="false"/>
                <w:bCs w:val="false"/>
                <w:color w:val="000000"/>
                <w:sz w:val="19"/>
                <w:szCs w:val="19"/>
              </w:rPr>
              <w:t xml:space="preserve">Tempo console, or Prime AI's Ask Prime conversational interface</w:t>
            </w:r>
          </w:p>
        </w:tc>
      </w:tr>
    </w:tbl>
    <w:p>
      <w:pPr>
        <w:pStyle w:val="Heading1"/>
        <w:spacing w:after="160" w:before="320"/>
      </w:pPr>
      <w:r>
        <w:t xml:space="preserve">4. Core Product Modules</w:t>
      </w:r>
    </w:p>
    <w:p>
      <w:pPr>
        <w:spacing w:after="130"/>
      </w:pPr>
      <w:r>
        <w:t xml:space="preserve">Ten optimisation models, all formally specified with sets, parameters, decision variables, objective functions, and constraints in the Tempo AI Labour Optimisation Spec:</w:t>
      </w:r>
    </w:p>
    <w:p>
      <w:pPr>
        <w:pStyle w:val="ListParagraph"/>
        <w:numPr>
          <w:ilvl w:val="0"/>
          <w:numId w:val="2"/>
        </w:numPr>
        <w:spacing w:after="70"/>
      </w:pPr>
      <w:r>
        <w:t xml:space="preserve">Demand Forecasting (GBM)</w:t>
      </w:r>
    </w:p>
    <w:p>
      <w:pPr>
        <w:pStyle w:val="ListParagraph"/>
        <w:numPr>
          <w:ilvl w:val="0"/>
          <w:numId w:val="2"/>
        </w:numPr>
        <w:spacing w:after="70"/>
      </w:pPr>
      <w:r>
        <w:t xml:space="preserve">Labour Requirement &amp; Work Content Translation</w:t>
      </w:r>
    </w:p>
    <w:p>
      <w:pPr>
        <w:pStyle w:val="ListParagraph"/>
        <w:numPr>
          <w:ilvl w:val="0"/>
          <w:numId w:val="2"/>
        </w:numPr>
        <w:spacing w:after="70"/>
      </w:pPr>
      <w:r>
        <w:t xml:space="preserve">Workforce Mix Optimisation (MILP)</w:t>
      </w:r>
    </w:p>
    <w:p>
      <w:pPr>
        <w:pStyle w:val="ListParagraph"/>
        <w:numPr>
          <w:ilvl w:val="0"/>
          <w:numId w:val="2"/>
        </w:numPr>
        <w:spacing w:after="70"/>
      </w:pPr>
      <w:r>
        <w:t xml:space="preserve">Named Roster Optimisation (CP-SAT/MILP)</w:t>
      </w:r>
    </w:p>
    <w:p>
      <w:pPr>
        <w:pStyle w:val="ListParagraph"/>
        <w:numPr>
          <w:ilvl w:val="0"/>
          <w:numId w:val="2"/>
        </w:numPr>
        <w:spacing w:after="70"/>
      </w:pPr>
      <w:r>
        <w:t xml:space="preserve">Intraday Labour Reallocation (Min-Cost Flow)</w:t>
      </w:r>
    </w:p>
    <w:p>
      <w:pPr>
        <w:pStyle w:val="ListParagraph"/>
        <w:numPr>
          <w:ilvl w:val="0"/>
          <w:numId w:val="2"/>
        </w:numPr>
        <w:spacing w:after="70"/>
      </w:pPr>
      <w:r>
        <w:t xml:space="preserve">Training &amp; Certification Coverage Optimisation (MILP)</w:t>
      </w:r>
    </w:p>
    <w:p>
      <w:pPr>
        <w:pStyle w:val="ListParagraph"/>
        <w:numPr>
          <w:ilvl w:val="0"/>
          <w:numId w:val="2"/>
        </w:numPr>
        <w:spacing w:after="70"/>
      </w:pPr>
      <w:r>
        <w:t xml:space="preserve">Leave &amp; RDO Planning Optimisation (MILP)</w:t>
      </w:r>
    </w:p>
    <w:p>
      <w:pPr>
        <w:pStyle w:val="ListParagraph"/>
        <w:numPr>
          <w:ilvl w:val="0"/>
          <w:numId w:val="2"/>
        </w:numPr>
        <w:spacing w:after="70"/>
      </w:pPr>
      <w:r>
        <w:t xml:space="preserve">Team Composition Optimisation (MILP)</w:t>
      </w:r>
    </w:p>
    <w:p>
      <w:pPr>
        <w:pStyle w:val="ListParagraph"/>
        <w:numPr>
          <w:ilvl w:val="0"/>
          <w:numId w:val="2"/>
        </w:numPr>
        <w:spacing w:after="70"/>
      </w:pPr>
      <w:r>
        <w:t xml:space="preserve">3PL Cost-to-Serve &amp; Margin Optimisation (MILP)</w:t>
      </w:r>
    </w:p>
    <w:p>
      <w:pPr>
        <w:pStyle w:val="ListParagraph"/>
        <w:numPr>
          <w:ilvl w:val="0"/>
          <w:numId w:val="2"/>
        </w:numPr>
        <w:spacing w:after="70"/>
      </w:pPr>
      <w:r>
        <w:t xml:space="preserve">Robust &amp; Scenario Optimisation (Monte Carlo)</w:t>
      </w:r>
    </w:p>
    <w:p>
      <w:r>
        <w:br w:type="page"/>
      </w:r>
    </w:p>
    <w:p>
      <w:pPr>
        <w:pStyle w:val="Heading1"/>
        <w:spacing w:after="160" w:before="320"/>
      </w:pPr>
      <w:r>
        <w:t xml:space="preserve">5. SaaS Business Model &amp; Pricing</w:t>
      </w:r>
    </w:p>
    <w:p>
      <w:pPr>
        <w:pStyle w:val="Heading2"/>
        <w:spacing w:after="100" w:before="220"/>
      </w:pPr>
      <w:r>
        <w:t xml:space="preserve">5.1 Worked Example — One Methodology, One Number</w:t>
      </w:r>
    </w:p>
    <w:p>
      <w:pPr>
        <w:spacing w:after="130"/>
      </w:pPr>
      <w:r>
        <w:t xml:space="preserve">A 300-employee warehousing customer currently on Deputy, evaluating Tempo Overlay: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300"/>
        <w:gridCol w:w="2700"/>
      </w:tblGrid>
      <w:tr>
        <w:trPr>
          <w:tblHeader/>
        </w:trPr>
        <w:tc>
          <w:tcPr>
            <w:tcW w:type="dxa" w:w="6300"/>
            <w:shd w:fill="1F3864" w:val="clear"/>
            <w:tcMar>
              <w:top w:type="dxa" w:w="80"/>
              <w:left w:type="dxa" w:w="100"/>
              <w:bottom w:type="dxa" w:w="80"/>
              <w:right w:type="dxa" w:w="100"/>
            </w:tcMar>
          </w:tcPr>
          <w:p>
            <w:pPr>
              <w:jc w:val="left"/>
            </w:pPr>
            <w:r>
              <w:rPr>
                <w:b/>
                <w:bCs/>
                <w:color w:val="FFFFFF"/>
                <w:sz w:val="19"/>
                <w:szCs w:val="19"/>
              </w:rPr>
              <w:t xml:space="preserve">Line item</w:t>
            </w:r>
          </w:p>
        </w:tc>
        <w:tc>
          <w:tcPr>
            <w:tcW w:type="dxa" w:w="2700"/>
            <w:shd w:fill="1F3864" w:val="clear"/>
            <w:tcMar>
              <w:top w:type="dxa" w:w="80"/>
              <w:left w:type="dxa" w:w="100"/>
              <w:bottom w:type="dxa" w:w="80"/>
              <w:right w:type="dxa" w:w="100"/>
            </w:tcMar>
          </w:tcPr>
          <w:p>
            <w:pPr>
              <w:jc w:val="left"/>
            </w:pPr>
            <w:r>
              <w:rPr>
                <w:b/>
                <w:bCs/>
                <w:color w:val="FFFFFF"/>
                <w:sz w:val="19"/>
                <w:szCs w:val="19"/>
              </w:rPr>
              <w:t xml:space="preserve">Annual figure</w:t>
            </w:r>
          </w:p>
        </w:tc>
      </w:tr>
      <w:tr>
        <w:tc>
          <w:tcPr>
            <w:tcW w:type="dxa" w:w="6300"/>
            <w:shd w:fill="FFFFFF" w:val="clear"/>
            <w:tcMar>
              <w:top w:type="dxa" w:w="80"/>
              <w:left w:type="dxa" w:w="100"/>
              <w:bottom w:type="dxa" w:w="80"/>
              <w:right w:type="dxa" w:w="100"/>
            </w:tcMar>
          </w:tcPr>
          <w:p>
            <w:pPr>
              <w:jc w:val="left"/>
            </w:pPr>
            <w:r>
              <w:rPr>
                <w:b w:val="false"/>
                <w:bCs w:val="false"/>
                <w:color w:val="000000"/>
                <w:sz w:val="19"/>
                <w:szCs w:val="19"/>
              </w:rPr>
              <w:t xml:space="preserve">Existing Deputy subscription (retained — no migration)</w:t>
            </w:r>
          </w:p>
        </w:tc>
        <w:tc>
          <w:tcPr>
            <w:tcW w:type="dxa" w:w="2700"/>
            <w:shd w:fill="FFFFFF" w:val="clear"/>
            <w:tcMar>
              <w:top w:type="dxa" w:w="80"/>
              <w:left w:type="dxa" w:w="100"/>
              <w:bottom w:type="dxa" w:w="80"/>
              <w:right w:type="dxa" w:w="100"/>
            </w:tcMar>
          </w:tcPr>
          <w:p>
            <w:pPr>
              <w:jc w:val="left"/>
            </w:pPr>
            <w:r>
              <w:rPr>
                <w:b w:val="false"/>
                <w:bCs w:val="false"/>
                <w:color w:val="000000"/>
                <w:sz w:val="19"/>
                <w:szCs w:val="19"/>
              </w:rPr>
              <w:t xml:space="preserve">$17,640</w:t>
            </w:r>
          </w:p>
        </w:tc>
      </w:tr>
      <w:tr>
        <w:tc>
          <w:tcPr>
            <w:tcW w:type="dxa" w:w="6300"/>
            <w:shd w:fill="F2F2F2" w:val="clear"/>
            <w:tcMar>
              <w:top w:type="dxa" w:w="80"/>
              <w:left w:type="dxa" w:w="100"/>
              <w:bottom w:type="dxa" w:w="80"/>
              <w:right w:type="dxa" w:w="100"/>
            </w:tcMar>
          </w:tcPr>
          <w:p>
            <w:pPr>
              <w:jc w:val="left"/>
            </w:pPr>
            <w:r>
              <w:rPr>
                <w:b w:val="false"/>
                <w:bCs w:val="false"/>
                <w:color w:val="000000"/>
                <w:sz w:val="19"/>
                <w:szCs w:val="19"/>
              </w:rPr>
              <w:t xml:space="preserve">Tempo Overlay subscription (Growth tier)</w:t>
            </w:r>
          </w:p>
        </w:tc>
        <w:tc>
          <w:tcPr>
            <w:tcW w:type="dxa" w:w="2700"/>
            <w:shd w:fill="F2F2F2" w:val="clear"/>
            <w:tcMar>
              <w:top w:type="dxa" w:w="80"/>
              <w:left w:type="dxa" w:w="100"/>
              <w:bottom w:type="dxa" w:w="80"/>
              <w:right w:type="dxa" w:w="100"/>
            </w:tcMar>
          </w:tcPr>
          <w:p>
            <w:pPr>
              <w:jc w:val="left"/>
            </w:pPr>
            <w:r>
              <w:rPr>
                <w:b w:val="false"/>
                <w:bCs w:val="false"/>
                <w:color w:val="000000"/>
                <w:sz w:val="19"/>
                <w:szCs w:val="19"/>
              </w:rPr>
              <w:t xml:space="preserve">$9,588</w:t>
            </w:r>
          </w:p>
        </w:tc>
      </w:tr>
      <w:tr>
        <w:tc>
          <w:tcPr>
            <w:tcW w:type="dxa" w:w="6300"/>
            <w:shd w:fill="FFFFFF" w:val="clear"/>
            <w:tcMar>
              <w:top w:type="dxa" w:w="80"/>
              <w:left w:type="dxa" w:w="100"/>
              <w:bottom w:type="dxa" w:w="80"/>
              <w:right w:type="dxa" w:w="100"/>
            </w:tcMar>
          </w:tcPr>
          <w:p>
            <w:pPr>
              <w:jc w:val="left"/>
            </w:pPr>
            <w:r>
              <w:rPr>
                <w:b w:val="false"/>
                <w:bCs w:val="false"/>
                <w:color w:val="000000"/>
                <w:sz w:val="19"/>
                <w:szCs w:val="19"/>
              </w:rPr>
              <w:t xml:space="preserve">Labour cost saving from roster/mix optimisation (target: 15%, per MVP criteria — not guaranteed)</w:t>
            </w:r>
          </w:p>
        </w:tc>
        <w:tc>
          <w:tcPr>
            <w:tcW w:type="dxa" w:w="2700"/>
            <w:shd w:fill="FFFFFF" w:val="clear"/>
            <w:tcMar>
              <w:top w:type="dxa" w:w="80"/>
              <w:left w:type="dxa" w:w="100"/>
              <w:bottom w:type="dxa" w:w="80"/>
              <w:right w:type="dxa" w:w="100"/>
            </w:tcMar>
          </w:tcPr>
          <w:p>
            <w:pPr>
              <w:jc w:val="left"/>
            </w:pPr>
            <w:r>
              <w:rPr>
                <w:b w:val="false"/>
                <w:bCs w:val="false"/>
                <w:color w:val="000000"/>
                <w:sz w:val="19"/>
                <w:szCs w:val="19"/>
              </w:rPr>
              <w:t xml:space="preserve">−$67,500 (illustrative, at $450,000 baseline annual labour spend)</w:t>
            </w:r>
          </w:p>
        </w:tc>
      </w:tr>
      <w:tr>
        <w:tc>
          <w:tcPr>
            <w:tcW w:type="dxa" w:w="6300"/>
            <w:shd w:fill="F2F2F2" w:val="clear"/>
            <w:tcMar>
              <w:top w:type="dxa" w:w="80"/>
              <w:left w:type="dxa" w:w="100"/>
              <w:bottom w:type="dxa" w:w="80"/>
              <w:right w:type="dxa" w:w="100"/>
            </w:tcMar>
          </w:tcPr>
          <w:p>
            <w:pPr>
              <w:jc w:val="left"/>
            </w:pPr>
            <w:r>
              <w:rPr>
                <w:b w:val="false"/>
                <w:bCs w:val="false"/>
                <w:color w:val="000000"/>
                <w:sz w:val="19"/>
                <w:szCs w:val="19"/>
              </w:rPr>
              <w:t xml:space="preserve">Net first-year benefit (illustrative)</w:t>
            </w:r>
          </w:p>
        </w:tc>
        <w:tc>
          <w:tcPr>
            <w:tcW w:type="dxa" w:w="2700"/>
            <w:shd w:fill="F2F2F2" w:val="clear"/>
            <w:tcMar>
              <w:top w:type="dxa" w:w="80"/>
              <w:left w:type="dxa" w:w="100"/>
              <w:bottom w:type="dxa" w:w="80"/>
              <w:right w:type="dxa" w:w="100"/>
            </w:tcMar>
          </w:tcPr>
          <w:p>
            <w:pPr>
              <w:jc w:val="left"/>
            </w:pPr>
            <w:r>
              <w:rPr>
                <w:b w:val="false"/>
                <w:bCs w:val="false"/>
                <w:color w:val="000000"/>
                <w:sz w:val="19"/>
                <w:szCs w:val="19"/>
              </w:rPr>
              <w:t xml:space="preserve">≈ $57,900</w:t>
            </w:r>
          </w:p>
        </w:tc>
      </w:tr>
    </w:tbl>
    <w:p>
      <w:pPr>
        <w:spacing w:after="130"/>
      </w:pPr>
      <w:r>
        <w:rPr>
          <w:i/>
          <w:iCs/>
          <w:color w:val="595959"/>
          <w:sz w:val="19"/>
          <w:szCs w:val="19"/>
        </w:rPr>
        <w:t xml:space="preserve">This replaces the two conflicting figures (900%+ and 2,430% ROI) in v1.0 with one worked calculation, explicitly labelled illustrative and tied to the 15% target already stated as an MVP success criterion — not a separate, higher marketing number. Actual customer results will vary and should be measured against their own pre-Tempo baseline, not this example.</w:t>
      </w:r>
    </w:p>
    <w:p>
      <w:pPr>
        <w:pStyle w:val="Heading2"/>
        <w:spacing w:after="100" w:before="220"/>
      </w:pPr>
      <w:r>
        <w:t xml:space="preserve">5.2 Pricing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3700"/>
      </w:tblGrid>
      <w:tr>
        <w:trPr>
          <w:tblHeader/>
        </w:trPr>
        <w:tc>
          <w:tcPr>
            <w:tcW w:type="dxa" w:w="1600"/>
            <w:shd w:fill="1F3864" w:val="clear"/>
            <w:tcMar>
              <w:top w:type="dxa" w:w="80"/>
              <w:left w:type="dxa" w:w="100"/>
              <w:bottom w:type="dxa" w:w="80"/>
              <w:right w:type="dxa" w:w="100"/>
            </w:tcMar>
          </w:tcPr>
          <w:p>
            <w:pPr>
              <w:jc w:val="left"/>
            </w:pPr>
            <w:r>
              <w:rPr>
                <w:b/>
                <w:bCs/>
                <w:color w:val="FFFFFF"/>
                <w:sz w:val="19"/>
                <w:szCs w:val="19"/>
              </w:rPr>
              <w:t xml:space="preserve">Tier</w:t>
            </w:r>
          </w:p>
        </w:tc>
        <w:tc>
          <w:tcPr>
            <w:tcW w:type="dxa" w:w="3700"/>
            <w:shd w:fill="1F3864" w:val="clear"/>
            <w:tcMar>
              <w:top w:type="dxa" w:w="80"/>
              <w:left w:type="dxa" w:w="100"/>
              <w:bottom w:type="dxa" w:w="80"/>
              <w:right w:type="dxa" w:w="100"/>
            </w:tcMar>
          </w:tcPr>
          <w:p>
            <w:pPr>
              <w:jc w:val="left"/>
            </w:pPr>
            <w:r>
              <w:rPr>
                <w:b/>
                <w:bCs/>
                <w:color w:val="FFFFFF"/>
                <w:sz w:val="19"/>
                <w:szCs w:val="19"/>
              </w:rPr>
              <w:t xml:space="preserve">Standalone (native capture + optimisation)</w:t>
            </w:r>
          </w:p>
        </w:tc>
        <w:tc>
          <w:tcPr>
            <w:tcW w:type="dxa" w:w="3700"/>
            <w:shd w:fill="1F3864" w:val="clear"/>
            <w:tcMar>
              <w:top w:type="dxa" w:w="80"/>
              <w:left w:type="dxa" w:w="100"/>
              <w:bottom w:type="dxa" w:w="80"/>
              <w:right w:type="dxa" w:w="100"/>
            </w:tcMar>
          </w:tcPr>
          <w:p>
            <w:pPr>
              <w:jc w:val="left"/>
            </w:pPr>
            <w:r>
              <w:rPr>
                <w:b/>
                <w:bCs/>
                <w:color w:val="FFFFFF"/>
                <w:sz w:val="19"/>
                <w:szCs w:val="19"/>
              </w:rPr>
              <w:t xml:space="preserve">Overlay (optimisation only, bring-your-own T&amp;A)</w:t>
            </w:r>
          </w:p>
        </w:tc>
      </w:tr>
      <w:tr>
        <w:tc>
          <w:tcPr>
            <w:tcW w:type="dxa" w:w="1600"/>
            <w:shd w:fill="FFFFFF" w:val="clear"/>
            <w:tcMar>
              <w:top w:type="dxa" w:w="80"/>
              <w:left w:type="dxa" w:w="100"/>
              <w:bottom w:type="dxa" w:w="80"/>
              <w:right w:type="dxa" w:w="100"/>
            </w:tcMar>
          </w:tcPr>
          <w:p>
            <w:pPr>
              <w:jc w:val="left"/>
            </w:pPr>
            <w:r>
              <w:rPr>
                <w:b w:val="false"/>
                <w:bCs w:val="false"/>
                <w:color w:val="000000"/>
                <w:sz w:val="19"/>
                <w:szCs w:val="19"/>
              </w:rPr>
              <w:t xml:space="preserve">Starter</w:t>
            </w:r>
          </w:p>
        </w:tc>
        <w:tc>
          <w:tcPr>
            <w:tcW w:type="dxa" w:w="3700"/>
            <w:shd w:fill="FFFFFF" w:val="clear"/>
            <w:tcMar>
              <w:top w:type="dxa" w:w="80"/>
              <w:left w:type="dxa" w:w="100"/>
              <w:bottom w:type="dxa" w:w="80"/>
              <w:right w:type="dxa" w:w="100"/>
            </w:tcMar>
          </w:tcPr>
          <w:p>
            <w:pPr>
              <w:jc w:val="left"/>
            </w:pPr>
            <w:r>
              <w:rPr>
                <w:b w:val="false"/>
                <w:bCs w:val="false"/>
                <w:color w:val="000000"/>
                <w:sz w:val="19"/>
                <w:szCs w:val="19"/>
              </w:rPr>
              <w:t xml:space="preserve">$299/mo — up to 150 employees, core T&amp;A + AI roster gen</w:t>
            </w:r>
          </w:p>
        </w:tc>
        <w:tc>
          <w:tcPr>
            <w:tcW w:type="dxa" w:w="3700"/>
            <w:shd w:fill="FFFFFF" w:val="clear"/>
            <w:tcMar>
              <w:top w:type="dxa" w:w="80"/>
              <w:left w:type="dxa" w:w="100"/>
              <w:bottom w:type="dxa" w:w="80"/>
              <w:right w:type="dxa" w:w="100"/>
            </w:tcMar>
          </w:tcPr>
          <w:p>
            <w:pPr>
              <w:jc w:val="left"/>
            </w:pPr>
            <w:r>
              <w:rPr>
                <w:b w:val="false"/>
                <w:bCs w:val="false"/>
                <w:color w:val="000000"/>
                <w:sz w:val="19"/>
                <w:szCs w:val="19"/>
              </w:rPr>
              <w:t xml:space="preserve">Not offered — overlay starts at Growth</w:t>
            </w:r>
          </w:p>
        </w:tc>
      </w:tr>
      <w:tr>
        <w:tc>
          <w:tcPr>
            <w:tcW w:type="dxa" w:w="1600"/>
            <w:shd w:fill="F2F2F2" w:val="clear"/>
            <w:tcMar>
              <w:top w:type="dxa" w:w="80"/>
              <w:left w:type="dxa" w:w="100"/>
              <w:bottom w:type="dxa" w:w="80"/>
              <w:right w:type="dxa" w:w="100"/>
            </w:tcMar>
          </w:tcPr>
          <w:p>
            <w:pPr>
              <w:jc w:val="left"/>
            </w:pPr>
            <w:r>
              <w:rPr>
                <w:b w:val="false"/>
                <w:bCs w:val="false"/>
                <w:color w:val="000000"/>
                <w:sz w:val="19"/>
                <w:szCs w:val="19"/>
              </w:rPr>
              <w:t xml:space="preserve">Growth</w:t>
            </w:r>
          </w:p>
        </w:tc>
        <w:tc>
          <w:tcPr>
            <w:tcW w:type="dxa" w:w="3700"/>
            <w:shd w:fill="F2F2F2" w:val="clear"/>
            <w:tcMar>
              <w:top w:type="dxa" w:w="80"/>
              <w:left w:type="dxa" w:w="100"/>
              <w:bottom w:type="dxa" w:w="80"/>
              <w:right w:type="dxa" w:w="100"/>
            </w:tcMar>
          </w:tcPr>
          <w:p>
            <w:pPr>
              <w:jc w:val="left"/>
            </w:pPr>
            <w:r>
              <w:rPr>
                <w:b w:val="false"/>
                <w:bCs w:val="false"/>
                <w:color w:val="000000"/>
                <w:sz w:val="19"/>
                <w:szCs w:val="19"/>
              </w:rPr>
              <w:t xml:space="preserve">$799/mo — up to 500 employees, + performance + forecasting</w:t>
            </w:r>
          </w:p>
        </w:tc>
        <w:tc>
          <w:tcPr>
            <w:tcW w:type="dxa" w:w="3700"/>
            <w:shd w:fill="F2F2F2" w:val="clear"/>
            <w:tcMar>
              <w:top w:type="dxa" w:w="80"/>
              <w:left w:type="dxa" w:w="100"/>
              <w:bottom w:type="dxa" w:w="80"/>
              <w:right w:type="dxa" w:w="100"/>
            </w:tcMar>
          </w:tcPr>
          <w:p>
            <w:pPr>
              <w:jc w:val="left"/>
            </w:pPr>
            <w:r>
              <w:rPr>
                <w:b w:val="false"/>
                <w:bCs w:val="false"/>
                <w:color w:val="000000"/>
                <w:sz w:val="19"/>
                <w:szCs w:val="19"/>
              </w:rPr>
              <w:t xml:space="preserve">$599/mo — up to 500 employees, optimisation library only</w:t>
            </w:r>
          </w:p>
        </w:tc>
      </w:tr>
      <w:tr>
        <w:tc>
          <w:tcPr>
            <w:tcW w:type="dxa" w:w="1600"/>
            <w:shd w:fill="FFFFFF" w:val="clear"/>
            <w:tcMar>
              <w:top w:type="dxa" w:w="80"/>
              <w:left w:type="dxa" w:w="100"/>
              <w:bottom w:type="dxa" w:w="80"/>
              <w:right w:type="dxa" w:w="100"/>
            </w:tcMar>
          </w:tcPr>
          <w:p>
            <w:pPr>
              <w:jc w:val="left"/>
            </w:pPr>
            <w:r>
              <w:rPr>
                <w:b w:val="false"/>
                <w:bCs w:val="false"/>
                <w:color w:val="000000"/>
                <w:sz w:val="19"/>
                <w:szCs w:val="19"/>
              </w:rPr>
              <w:t xml:space="preserve">Scale</w:t>
            </w:r>
          </w:p>
        </w:tc>
        <w:tc>
          <w:tcPr>
            <w:tcW w:type="dxa" w:w="3700"/>
            <w:shd w:fill="FFFFFF" w:val="clear"/>
            <w:tcMar>
              <w:top w:type="dxa" w:w="80"/>
              <w:left w:type="dxa" w:w="100"/>
              <w:bottom w:type="dxa" w:w="80"/>
              <w:right w:type="dxa" w:w="100"/>
            </w:tcMar>
          </w:tcPr>
          <w:p>
            <w:pPr>
              <w:jc w:val="left"/>
            </w:pPr>
            <w:r>
              <w:rPr>
                <w:b w:val="false"/>
                <w:bCs w:val="false"/>
                <w:color w:val="000000"/>
                <w:sz w:val="19"/>
                <w:szCs w:val="19"/>
              </w:rPr>
              <w:t xml:space="preserve">$1,999/mo — up to 2,000 employees, + mix/scenario optimisation</w:t>
            </w:r>
          </w:p>
        </w:tc>
        <w:tc>
          <w:tcPr>
            <w:tcW w:type="dxa" w:w="3700"/>
            <w:shd w:fill="FFFFFF" w:val="clear"/>
            <w:tcMar>
              <w:top w:type="dxa" w:w="80"/>
              <w:left w:type="dxa" w:w="100"/>
              <w:bottom w:type="dxa" w:w="80"/>
              <w:right w:type="dxa" w:w="100"/>
            </w:tcMar>
          </w:tcPr>
          <w:p>
            <w:pPr>
              <w:jc w:val="left"/>
            </w:pPr>
            <w:r>
              <w:rPr>
                <w:b w:val="false"/>
                <w:bCs w:val="false"/>
                <w:color w:val="000000"/>
                <w:sz w:val="19"/>
                <w:szCs w:val="19"/>
              </w:rPr>
              <w:t xml:space="preserve">$1,499/mo — up to 2,000 employees, full solver library</w:t>
            </w:r>
          </w:p>
        </w:tc>
      </w:tr>
      <w:tr>
        <w:tc>
          <w:tcPr>
            <w:tcW w:type="dxa" w:w="1600"/>
            <w:shd w:fill="F2F2F2" w:val="clear"/>
            <w:tcMar>
              <w:top w:type="dxa" w:w="80"/>
              <w:left w:type="dxa" w:w="100"/>
              <w:bottom w:type="dxa" w:w="80"/>
              <w:right w:type="dxa" w:w="100"/>
            </w:tcMar>
          </w:tcPr>
          <w:p>
            <w:pPr>
              <w:jc w:val="left"/>
            </w:pPr>
            <w:r>
              <w:rPr>
                <w:b w:val="false"/>
                <w:bCs w:val="false"/>
                <w:color w:val="000000"/>
                <w:sz w:val="19"/>
                <w:szCs w:val="19"/>
              </w:rPr>
              <w:t xml:space="preserve">Enterprise</w:t>
            </w:r>
          </w:p>
        </w:tc>
        <w:tc>
          <w:tcPr>
            <w:tcW w:type="dxa" w:w="3700"/>
            <w:shd w:fill="F2F2F2" w:val="clear"/>
            <w:tcMar>
              <w:top w:type="dxa" w:w="80"/>
              <w:left w:type="dxa" w:w="100"/>
              <w:bottom w:type="dxa" w:w="80"/>
              <w:right w:type="dxa" w:w="100"/>
            </w:tcMar>
          </w:tcPr>
          <w:p>
            <w:pPr>
              <w:jc w:val="left"/>
            </w:pPr>
            <w:r>
              <w:rPr>
                <w:b w:val="false"/>
                <w:bCs w:val="false"/>
                <w:color w:val="000000"/>
                <w:sz w:val="19"/>
                <w:szCs w:val="19"/>
              </w:rPr>
              <w:t xml:space="preserve">Custom</w:t>
            </w:r>
          </w:p>
        </w:tc>
        <w:tc>
          <w:tcPr>
            <w:tcW w:type="dxa" w:w="3700"/>
            <w:shd w:fill="F2F2F2" w:val="clear"/>
            <w:tcMar>
              <w:top w:type="dxa" w:w="80"/>
              <w:left w:type="dxa" w:w="100"/>
              <w:bottom w:type="dxa" w:w="80"/>
              <w:right w:type="dxa" w:w="100"/>
            </w:tcMar>
          </w:tcPr>
          <w:p>
            <w:pPr>
              <w:jc w:val="left"/>
            </w:pPr>
            <w:r>
              <w:rPr>
                <w:b w:val="false"/>
                <w:bCs w:val="false"/>
                <w:color w:val="000000"/>
                <w:sz w:val="19"/>
                <w:szCs w:val="19"/>
              </w:rPr>
              <w:t xml:space="preserve">Custom — typically bundled into Prime AI Enterprise (see §5.3)</w:t>
            </w:r>
          </w:p>
        </w:tc>
      </w:tr>
    </w:tbl>
    <w:p>
      <w:pPr>
        <w:spacing w:after="130"/>
      </w:pPr>
      <w:r>
        <w:rPr>
          <w:i/>
          <w:iCs/>
          <w:color w:val="595959"/>
          <w:sz w:val="19"/>
          <w:szCs w:val="19"/>
        </w:rPr>
        <w:t xml:space="preserve">Overlay pricing is lower than Standalone at each tier because it excludes T&amp;A infrastructure (kiosk/mobile capture, geofencing, biometric hardware integration) — the customer is paying for optimisation only. These figures are proposed, not finalised; they require sign-off from a pricing owner before external use.</w:t>
      </w:r>
    </w:p>
    <w:p>
      <w:pPr>
        <w:pStyle w:val="Heading2"/>
        <w:spacing w:after="100" w:before="220"/>
      </w:pPr>
      <w:r>
        <w:t xml:space="preserve">5.3 Relationship to Prime AI Packaging</w:t>
      </w:r>
    </w:p>
    <w:p>
      <w:pPr>
        <w:spacing w:after="130"/>
      </w:pPr>
      <w:r>
        <w:t xml:space="preserve">Where a customer is also a Prime AI customer, Tempo's optimisation library is included in Prime AI Professional (core models) and Prime AI Enterprise (full library, including 3PL margin and scenario planning) rather than billed separately — see the Tempo × Prime AI Integration Specification §9 for the full packaging logic. Standalone Tempo pricing above applies only to customers not on Prime AI.</w:t>
      </w:r>
    </w:p>
    <w:p>
      <w:pPr>
        <w:pStyle w:val="Heading1"/>
        <w:spacing w:after="160" w:before="320"/>
      </w:pPr>
      <w:r>
        <w:t xml:space="preserve">6. Go-to-Market Strategy</w:t>
      </w:r>
    </w:p>
    <w:p>
      <w:pPr>
        <w:pStyle w:val="Heading2"/>
        <w:spacing w:after="100" w:before="220"/>
      </w:pPr>
      <w:r>
        <w:t xml:space="preserve">6.1 Dual Motion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rPr>
          <w:tblHeader/>
        </w:trPr>
        <w:tc>
          <w:tcPr>
            <w:tcW w:type="dxa" w:w="1800"/>
            <w:shd w:fill="1F3864" w:val="clear"/>
            <w:tcMar>
              <w:top w:type="dxa" w:w="80"/>
              <w:left w:type="dxa" w:w="100"/>
              <w:bottom w:type="dxa" w:w="80"/>
              <w:right w:type="dxa" w:w="100"/>
            </w:tcMar>
          </w:tcPr>
          <w:p>
            <w:pPr>
              <w:jc w:val="left"/>
            </w:pPr>
            <w:r>
              <w:rPr>
                <w:b/>
                <w:bCs/>
                <w:color w:val="FFFFFF"/>
                <w:sz w:val="19"/>
                <w:szCs w:val="19"/>
              </w:rPr>
              <w:t xml:space="preserve">Motion</w:t>
            </w:r>
          </w:p>
        </w:tc>
        <w:tc>
          <w:tcPr>
            <w:tcW w:type="dxa" w:w="3200"/>
            <w:shd w:fill="1F3864" w:val="clear"/>
            <w:tcMar>
              <w:top w:type="dxa" w:w="80"/>
              <w:left w:type="dxa" w:w="100"/>
              <w:bottom w:type="dxa" w:w="80"/>
              <w:right w:type="dxa" w:w="100"/>
            </w:tcMar>
          </w:tcPr>
          <w:p>
            <w:pPr>
              <w:jc w:val="left"/>
            </w:pPr>
            <w:r>
              <w:rPr>
                <w:b/>
                <w:bCs/>
                <w:color w:val="FFFFFF"/>
                <w:sz w:val="19"/>
                <w:szCs w:val="19"/>
              </w:rPr>
              <w:t xml:space="preserve">Target customer</w:t>
            </w:r>
          </w:p>
        </w:tc>
        <w:tc>
          <w:tcPr>
            <w:tcW w:type="dxa" w:w="4000"/>
            <w:shd w:fill="1F3864" w:val="clear"/>
            <w:tcMar>
              <w:top w:type="dxa" w:w="80"/>
              <w:left w:type="dxa" w:w="100"/>
              <w:bottom w:type="dxa" w:w="80"/>
              <w:right w:type="dxa" w:w="100"/>
            </w:tcMar>
          </w:tcPr>
          <w:p>
            <w:pPr>
              <w:jc w:val="left"/>
            </w:pPr>
            <w:r>
              <w:rPr>
                <w:b/>
                <w:bCs/>
                <w:color w:val="FFFFFF"/>
                <w:sz w:val="19"/>
                <w:szCs w:val="19"/>
              </w:rPr>
              <w:t xml:space="preserve">Message</w:t>
            </w:r>
          </w:p>
        </w:tc>
      </w:tr>
      <w:tr>
        <w:tc>
          <w:tcPr>
            <w:tcW w:type="dxa" w:w="1800"/>
            <w:shd w:fill="FFFFFF" w:val="clear"/>
            <w:tcMar>
              <w:top w:type="dxa" w:w="80"/>
              <w:left w:type="dxa" w:w="100"/>
              <w:bottom w:type="dxa" w:w="80"/>
              <w:right w:type="dxa" w:w="100"/>
            </w:tcMar>
          </w:tcPr>
          <w:p>
            <w:pPr>
              <w:jc w:val="left"/>
            </w:pPr>
            <w:r>
              <w:rPr>
                <w:b w:val="false"/>
                <w:bCs w:val="false"/>
                <w:color w:val="000000"/>
                <w:sz w:val="19"/>
                <w:szCs w:val="19"/>
              </w:rPr>
              <w:t xml:space="preserve">Displacement</w:t>
            </w:r>
          </w:p>
        </w:tc>
        <w:tc>
          <w:tcPr>
            <w:tcW w:type="dxa" w:w="3200"/>
            <w:shd w:fill="FFFFFF" w:val="clear"/>
            <w:tcMar>
              <w:top w:type="dxa" w:w="80"/>
              <w:left w:type="dxa" w:w="100"/>
              <w:bottom w:type="dxa" w:w="80"/>
              <w:right w:type="dxa" w:w="100"/>
            </w:tcMar>
          </w:tcPr>
          <w:p>
            <w:pPr>
              <w:jc w:val="left"/>
            </w:pPr>
            <w:r>
              <w:rPr>
                <w:b w:val="false"/>
                <w:bCs w:val="false"/>
                <w:color w:val="000000"/>
                <w:sz w:val="19"/>
                <w:szCs w:val="19"/>
              </w:rPr>
              <w:t xml:space="preserve">Greenfield warehousing operators, or customers actively dissatisfied with their current T&amp;A tool</w:t>
            </w:r>
          </w:p>
        </w:tc>
        <w:tc>
          <w:tcPr>
            <w:tcW w:type="dxa" w:w="4000"/>
            <w:shd w:fill="FFFFFF" w:val="clear"/>
            <w:tcMar>
              <w:top w:type="dxa" w:w="80"/>
              <w:left w:type="dxa" w:w="100"/>
              <w:bottom w:type="dxa" w:w="80"/>
              <w:right w:type="dxa" w:w="100"/>
            </w:tcMar>
          </w:tcPr>
          <w:p>
            <w:pPr>
              <w:jc w:val="left"/>
            </w:pPr>
            <w:r>
              <w:rPr>
                <w:b w:val="false"/>
                <w:bCs w:val="false"/>
                <w:color w:val="000000"/>
                <w:sz w:val="19"/>
                <w:szCs w:val="19"/>
              </w:rPr>
              <w:t xml:space="preserve">“Replace your scheduling clipboard with an AI-native platform, live in 5 days.”</w:t>
            </w:r>
          </w:p>
        </w:tc>
      </w:tr>
      <w:tr>
        <w:tc>
          <w:tcPr>
            <w:tcW w:type="dxa" w:w="1800"/>
            <w:shd w:fill="F2F2F2" w:val="clear"/>
            <w:tcMar>
              <w:top w:type="dxa" w:w="80"/>
              <w:left w:type="dxa" w:w="100"/>
              <w:bottom w:type="dxa" w:w="80"/>
              <w:right w:type="dxa" w:w="100"/>
            </w:tcMar>
          </w:tcPr>
          <w:p>
            <w:pPr>
              <w:jc w:val="left"/>
            </w:pPr>
            <w:r>
              <w:rPr>
                <w:b w:val="false"/>
                <w:bCs w:val="false"/>
                <w:color w:val="000000"/>
                <w:sz w:val="19"/>
                <w:szCs w:val="19"/>
              </w:rPr>
              <w:t xml:space="preserve">Overlay</w:t>
            </w:r>
          </w:p>
        </w:tc>
        <w:tc>
          <w:tcPr>
            <w:tcW w:type="dxa" w:w="3200"/>
            <w:shd w:fill="F2F2F2" w:val="clear"/>
            <w:tcMar>
              <w:top w:type="dxa" w:w="80"/>
              <w:left w:type="dxa" w:w="100"/>
              <w:bottom w:type="dxa" w:w="80"/>
              <w:right w:type="dxa" w:w="100"/>
            </w:tcMar>
          </w:tcPr>
          <w:p>
            <w:pPr>
              <w:jc w:val="left"/>
            </w:pPr>
            <w:r>
              <w:rPr>
                <w:b w:val="false"/>
                <w:bCs w:val="false"/>
                <w:color w:val="000000"/>
                <w:sz w:val="19"/>
                <w:szCs w:val="19"/>
              </w:rPr>
              <w:t xml:space="preserve">Established Kronos/UKG or Deputy customers with no appetite to migrate</w:t>
            </w:r>
          </w:p>
        </w:tc>
        <w:tc>
          <w:tcPr>
            <w:tcW w:type="dxa" w:w="4000"/>
            <w:shd w:fill="F2F2F2" w:val="clear"/>
            <w:tcMar>
              <w:top w:type="dxa" w:w="80"/>
              <w:left w:type="dxa" w:w="100"/>
              <w:bottom w:type="dxa" w:w="80"/>
              <w:right w:type="dxa" w:w="100"/>
            </w:tcMar>
          </w:tcPr>
          <w:p>
            <w:pPr>
              <w:jc w:val="left"/>
            </w:pPr>
            <w:r>
              <w:rPr>
                <w:b w:val="false"/>
                <w:bCs w:val="false"/>
                <w:color w:val="000000"/>
                <w:sz w:val="19"/>
                <w:szCs w:val="19"/>
              </w:rPr>
              <w:t xml:space="preserve">“Keep your T&amp;A system. Add the optimisation layer neither Deputy nor Kronos ships.”</w:t>
            </w:r>
          </w:p>
        </w:tc>
      </w:tr>
      <w:tr>
        <w:tc>
          <w:tcPr>
            <w:tcW w:type="dxa" w:w="1800"/>
            <w:shd w:fill="FFFFFF" w:val="clear"/>
            <w:tcMar>
              <w:top w:type="dxa" w:w="80"/>
              <w:left w:type="dxa" w:w="100"/>
              <w:bottom w:type="dxa" w:w="80"/>
              <w:right w:type="dxa" w:w="100"/>
            </w:tcMar>
          </w:tcPr>
          <w:p>
            <w:pPr>
              <w:jc w:val="left"/>
            </w:pPr>
            <w:r>
              <w:rPr>
                <w:b w:val="false"/>
                <w:bCs w:val="false"/>
                <w:color w:val="000000"/>
                <w:sz w:val="19"/>
                <w:szCs w:val="19"/>
              </w:rPr>
              <w:t xml:space="preserve">Prime AI bundle</w:t>
            </w:r>
          </w:p>
        </w:tc>
        <w:tc>
          <w:tcPr>
            <w:tcW w:type="dxa" w:w="3200"/>
            <w:shd w:fill="FFFFFF" w:val="clear"/>
            <w:tcMar>
              <w:top w:type="dxa" w:w="80"/>
              <w:left w:type="dxa" w:w="100"/>
              <w:bottom w:type="dxa" w:w="80"/>
              <w:right w:type="dxa" w:w="100"/>
            </w:tcMar>
          </w:tcPr>
          <w:p>
            <w:pPr>
              <w:jc w:val="left"/>
            </w:pPr>
            <w:r>
              <w:rPr>
                <w:b w:val="false"/>
                <w:bCs w:val="false"/>
                <w:color w:val="000000"/>
                <w:sz w:val="19"/>
                <w:szCs w:val="19"/>
              </w:rPr>
              <w:t xml:space="preserve">Existing Prime AI customers</w:t>
            </w:r>
          </w:p>
        </w:tc>
        <w:tc>
          <w:tcPr>
            <w:tcW w:type="dxa" w:w="4000"/>
            <w:shd w:fill="FFFFFF" w:val="clear"/>
            <w:tcMar>
              <w:top w:type="dxa" w:w="80"/>
              <w:left w:type="dxa" w:w="100"/>
              <w:bottom w:type="dxa" w:w="80"/>
              <w:right w:type="dxa" w:w="100"/>
            </w:tcMar>
          </w:tcPr>
          <w:p>
            <w:pPr>
              <w:jc w:val="left"/>
            </w:pPr>
            <w:r>
              <w:rPr>
                <w:b w:val="false"/>
                <w:bCs w:val="false"/>
                <w:color w:val="000000"/>
                <w:sz w:val="19"/>
                <w:szCs w:val="19"/>
              </w:rPr>
              <w:t xml:space="preserve">“Ask Prime already answers your operational questions — now it can act on labour, too.”</w:t>
            </w:r>
          </w:p>
        </w:tc>
      </w:tr>
    </w:tbl>
    <w:p>
      <w:pPr>
        <w:pStyle w:val="Heading2"/>
        <w:spacing w:after="100" w:before="220"/>
      </w:pPr>
      <w:r>
        <w:t xml:space="preserve">6.2 Beachhead</w:t>
      </w:r>
    </w:p>
    <w:p>
      <w:pPr>
        <w:spacing w:after="130"/>
      </w:pPr>
      <w:r>
        <w:t xml:space="preserve">Warehousing and logistics remains the beachhead vertical — an estimated $890M segment (see sourcing caveat, §2.1) with no dedicated optimisation solution from either incumbent. The overlay motion specifically targets the large existing base of warehousing operators already running Kronos or Deputy, who were previously outside Tempo's addressable market under the displacement-only v1.0 strategy.</w:t>
      </w:r>
    </w:p>
    <w:p>
      <w:pPr>
        <w:pStyle w:val="Heading1"/>
        <w:spacing w:after="160" w:before="320"/>
      </w:pPr>
      <w:r>
        <w:t xml:space="preserve">7.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shd w:fill="1F3864" w:val="clear"/>
            <w:tcMar>
              <w:top w:type="dxa" w:w="80"/>
              <w:left w:type="dxa" w:w="100"/>
              <w:bottom w:type="dxa" w:w="80"/>
              <w:right w:type="dxa" w:w="100"/>
            </w:tcMar>
          </w:tcPr>
          <w:p>
            <w:pPr>
              <w:jc w:val="left"/>
            </w:pPr>
            <w:r>
              <w:rPr>
                <w:b/>
                <w:bCs/>
                <w:color w:val="FFFFFF"/>
                <w:sz w:val="19"/>
                <w:szCs w:val="19"/>
              </w:rPr>
              <w:t xml:space="preserve">Path</w:t>
            </w:r>
          </w:p>
        </w:tc>
        <w:tc>
          <w:tcPr>
            <w:tcW w:type="dxa" w:w="2400"/>
            <w:shd w:fill="1F3864" w:val="clear"/>
            <w:tcMar>
              <w:top w:type="dxa" w:w="80"/>
              <w:left w:type="dxa" w:w="100"/>
              <w:bottom w:type="dxa" w:w="80"/>
              <w:right w:type="dxa" w:w="100"/>
            </w:tcMar>
          </w:tcPr>
          <w:p>
            <w:pPr>
              <w:jc w:val="left"/>
            </w:pPr>
            <w:r>
              <w:rPr>
                <w:b/>
                <w:bCs/>
                <w:color w:val="FFFFFF"/>
                <w:sz w:val="19"/>
                <w:szCs w:val="19"/>
              </w:rPr>
              <w:t xml:space="preserve">Typical timeline</w:t>
            </w:r>
          </w:p>
        </w:tc>
        <w:tc>
          <w:tcPr>
            <w:tcW w:type="dxa" w:w="4200"/>
            <w:shd w:fill="1F3864" w:val="clear"/>
            <w:tcMar>
              <w:top w:type="dxa" w:w="80"/>
              <w:left w:type="dxa" w:w="100"/>
              <w:bottom w:type="dxa" w:w="80"/>
              <w:right w:type="dxa" w:w="100"/>
            </w:tcMar>
          </w:tcPr>
          <w:p>
            <w:pPr>
              <w:jc w:val="left"/>
            </w:pPr>
            <w:r>
              <w:rPr>
                <w:b/>
                <w:bCs/>
                <w:color w:val="FFFFFF"/>
                <w:sz w:val="19"/>
                <w:szCs w:val="19"/>
              </w:rPr>
              <w:t xml:space="preserve">Basis</w:t>
            </w:r>
          </w:p>
        </w:tc>
      </w:tr>
      <w:tr>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Standalone (native capture)</w:t>
            </w:r>
          </w:p>
        </w:tc>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5 business days</w:t>
            </w:r>
          </w:p>
        </w:tc>
        <w:tc>
          <w:tcPr>
            <w:tcW w:type="dxa" w:w="4200"/>
            <w:shd w:fill="FFFFFF" w:val="clear"/>
            <w:tcMar>
              <w:top w:type="dxa" w:w="80"/>
              <w:left w:type="dxa" w:w="100"/>
              <w:bottom w:type="dxa" w:w="80"/>
              <w:right w:type="dxa" w:w="100"/>
            </w:tcMar>
          </w:tcPr>
          <w:p>
            <w:pPr>
              <w:jc w:val="left"/>
            </w:pPr>
            <w:r>
              <w:rPr>
                <w:b w:val="false"/>
                <w:bCs w:val="false"/>
                <w:color w:val="000000"/>
                <w:sz w:val="19"/>
                <w:szCs w:val="19"/>
              </w:rPr>
              <w:t xml:space="preserve">Unchanged from v1.0 — data import, integration, training, AI calibration, go-live</w:t>
            </w:r>
          </w:p>
        </w:tc>
      </w:tr>
      <w:tr>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Overlay — Deputy</w:t>
            </w:r>
          </w:p>
        </w:tc>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Days to ≈ 1–2 weeks</w:t>
            </w:r>
          </w:p>
        </w:tc>
        <w:tc>
          <w:tcPr>
            <w:tcW w:type="dxa" w:w="4200"/>
            <w:shd w:fill="F2F2F2" w:val="clear"/>
            <w:tcMar>
              <w:top w:type="dxa" w:w="80"/>
              <w:left w:type="dxa" w:w="100"/>
              <w:bottom w:type="dxa" w:w="80"/>
              <w:right w:type="dxa" w:w="100"/>
            </w:tcMar>
          </w:tcPr>
          <w:p>
            <w:pPr>
              <w:jc w:val="left"/>
            </w:pPr>
            <w:r>
              <w:rPr>
                <w:b w:val="false"/>
                <w:bCs w:val="false"/>
                <w:color w:val="000000"/>
                <w:sz w:val="19"/>
                <w:szCs w:val="19"/>
              </w:rPr>
              <w:t xml:space="preserve">Deputy's REST API is well-documented and API-first; primary risk is its undocumented rate limits and 500-record pagination cap on historical backfill</w:t>
            </w:r>
          </w:p>
        </w:tc>
      </w:tr>
      <w:tr>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Overlay — UKG/Kronos</w:t>
            </w:r>
          </w:p>
        </w:tc>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Weeks, product-line dependent</w:t>
            </w:r>
          </w:p>
        </w:tc>
        <w:tc>
          <w:tcPr>
            <w:tcW w:type="dxa" w:w="4200"/>
            <w:shd w:fill="FFFFFF" w:val="clear"/>
            <w:tcMar>
              <w:top w:type="dxa" w:w="80"/>
              <w:left w:type="dxa" w:w="100"/>
              <w:bottom w:type="dxa" w:w="80"/>
              <w:right w:type="dxa" w:w="100"/>
            </w:tcMar>
          </w:tcPr>
          <w:p>
            <w:pPr>
              <w:jc w:val="left"/>
            </w:pPr>
            <w:r>
              <w:rPr>
                <w:b w:val="false"/>
                <w:bCs w:val="false"/>
                <w:color w:val="000000"/>
                <w:sz w:val="19"/>
                <w:szCs w:val="19"/>
              </w:rPr>
              <w:t xml:space="preserve">UKG Pro WFM and UKG Ready are the priority integration targets; full UKG Pro HCM sync is materially heavier and sequenced later — see the Tempo AI Labour Optimisation Spec §2.2</w:t>
            </w:r>
          </w:p>
        </w:tc>
      </w:tr>
    </w:tbl>
    <w:p>
      <w:pPr>
        <w:spacing w:after="130"/>
      </w:pPr>
      <w:r>
        <w:rPr>
          <w:i/>
          <w:iCs/>
          <w:color w:val="595959"/>
          <w:sz w:val="19"/>
          <w:szCs w:val="19"/>
        </w:rPr>
        <w:t xml:space="preserve">v1.0 promised a uniform “5-day promise” regardless of path. That promise now applies only to the Standalone path; Overlay timelines are vendor-dependent and should not be quoted as 5 days in sales conversations.</w:t>
      </w:r>
    </w:p>
    <w:p>
      <w:pPr>
        <w:pStyle w:val="Heading1"/>
        <w:spacing w:after="160" w:before="320"/>
      </w:pPr>
      <w:r>
        <w:t xml:space="preserve">8. Roadmap</w:t>
      </w:r>
    </w:p>
    <w:p>
      <w:pPr>
        <w:pStyle w:val="Heading2"/>
        <w:spacing w:after="100" w:before="220"/>
      </w:pPr>
      <w:r>
        <w:t xml:space="preserve">Phase A — Core solvers (Standalone only)</w:t>
      </w:r>
    </w:p>
    <w:p>
      <w:pPr>
        <w:pStyle w:val="ListParagraph"/>
        <w:numPr>
          <w:ilvl w:val="0"/>
          <w:numId w:val="2"/>
        </w:numPr>
        <w:spacing w:after="70"/>
      </w:pPr>
      <w:r>
        <w:t xml:space="preserve">Workforce Mix, Named Roster, and Demand Forecasting live against Tempo-native data</w:t>
      </w:r>
    </w:p>
    <w:p>
      <w:pPr>
        <w:pStyle w:val="Heading2"/>
        <w:spacing w:after="100" w:before="220"/>
      </w:pPr>
      <w:r>
        <w:t xml:space="preserve">Phase B — Overlay connectors</w:t>
      </w:r>
    </w:p>
    <w:p>
      <w:pPr>
        <w:pStyle w:val="ListParagraph"/>
        <w:numPr>
          <w:ilvl w:val="0"/>
          <w:numId w:val="2"/>
        </w:numPr>
        <w:spacing w:after="70"/>
      </w:pPr>
      <w:r>
        <w:t xml:space="preserve">Deputy connector, then UKG Pro WFM / UKG Ready connector</w:t>
      </w:r>
    </w:p>
    <w:p>
      <w:pPr>
        <w:pStyle w:val="ListParagraph"/>
        <w:numPr>
          <w:ilvl w:val="0"/>
          <w:numId w:val="2"/>
        </w:numPr>
        <w:spacing w:after="70"/>
      </w:pPr>
      <w:r>
        <w:t xml:space="preserve">Validate optimisation output quality against third-party-sourced data, not just native data</w:t>
      </w:r>
    </w:p>
    <w:p>
      <w:pPr>
        <w:pStyle w:val="Heading2"/>
        <w:spacing w:after="100" w:before="220"/>
      </w:pPr>
      <w:r>
        <w:t xml:space="preserve">Phase C — Mid-tier model coverage</w:t>
      </w:r>
    </w:p>
    <w:p>
      <w:pPr>
        <w:pStyle w:val="ListParagraph"/>
        <w:numPr>
          <w:ilvl w:val="0"/>
          <w:numId w:val="2"/>
        </w:numPr>
        <w:spacing w:after="70"/>
      </w:pPr>
      <w:r>
        <w:t xml:space="preserve">Intraday Reallocation, Training &amp; Certification Coverage, Leave &amp; RDO Planning</w:t>
      </w:r>
    </w:p>
    <w:p>
      <w:pPr>
        <w:pStyle w:val="Heading2"/>
        <w:spacing w:after="100" w:before="220"/>
      </w:pPr>
      <w:r>
        <w:t xml:space="preserve">Phase D — Enterprise model coverage</w:t>
      </w:r>
    </w:p>
    <w:p>
      <w:pPr>
        <w:pStyle w:val="ListParagraph"/>
        <w:numPr>
          <w:ilvl w:val="0"/>
          <w:numId w:val="2"/>
        </w:numPr>
        <w:spacing w:after="70"/>
      </w:pPr>
      <w:r>
        <w:t xml:space="preserve">Team Composition, 3PL Cost-to-Serve &amp; Margin, Robust/Scenario Optimisation</w:t>
      </w:r>
    </w:p>
    <w:p>
      <w:pPr>
        <w:spacing w:after="130"/>
      </w:pPr>
      <w:r>
        <w:rPr>
          <w:i/>
          <w:iCs/>
          <w:color w:val="595959"/>
          <w:sz w:val="19"/>
          <w:szCs w:val="19"/>
        </w:rPr>
        <w:t xml:space="preserve">Phases align with the build plan in the Tempo AI Labour Optimisation Spec §8. No calendar-quarter targets are set in this document — v1.0's Q1–Q4 2025 milestones are retired without a reported outcome and are not carried forward; a new roadmap should be dated only once Phase A has a committed engineering start date.</w:t>
      </w:r>
    </w:p>
    <w:p>
      <w:pPr>
        <w:pStyle w:val="Heading1"/>
        <w:spacing w:after="160" w:before="320"/>
      </w:pPr>
      <w:r>
        <w:t xml:space="preserve">9. MVP Success Criteria</w:t>
      </w:r>
    </w:p>
    <w:p>
      <w:pPr>
        <w:pStyle w:val="ListParagraph"/>
        <w:numPr>
          <w:ilvl w:val="0"/>
          <w:numId w:val="2"/>
        </w:numPr>
        <w:spacing w:after="70"/>
      </w:pPr>
      <w:r>
        <w:t xml:space="preserve">Auto roster generation with over 80% supervisor acceptance</w:t>
      </w:r>
    </w:p>
    <w:p>
      <w:pPr>
        <w:pStyle w:val="ListParagraph"/>
        <w:numPr>
          <w:ilvl w:val="0"/>
          <w:numId w:val="2"/>
        </w:numPr>
        <w:spacing w:after="70"/>
      </w:pPr>
      <w:r>
        <w:t xml:space="preserve">15% target labour cost reduction within 90 days (target, not guarantee — consistent with §5.1)</w:t>
      </w:r>
    </w:p>
    <w:p>
      <w:pPr>
        <w:pStyle w:val="ListParagraph"/>
        <w:numPr>
          <w:ilvl w:val="0"/>
          <w:numId w:val="2"/>
        </w:numPr>
        <w:spacing w:after="70"/>
      </w:pPr>
      <w:r>
        <w:t xml:space="preserve">Real-time workforce visibility, exceptions actionable within 15 minutes</w:t>
      </w:r>
    </w:p>
    <w:p>
      <w:pPr>
        <w:pStyle w:val="ListParagraph"/>
        <w:numPr>
          <w:ilvl w:val="0"/>
          <w:numId w:val="2"/>
        </w:numPr>
        <w:spacing w:after="70"/>
      </w:pPr>
      <w:r>
        <w:t xml:space="preserve">Explainable AI recommendations on every output</w:t>
      </w:r>
    </w:p>
    <w:p>
      <w:pPr>
        <w:pStyle w:val="ListParagraph"/>
        <w:numPr>
          <w:ilvl w:val="0"/>
          <w:numId w:val="2"/>
        </w:numPr>
        <w:spacing w:after="70"/>
      </w:pPr>
      <w:r>
        <w:t xml:space="preserve">Data-source parity across Tempo-native, Deputy, and UKG-sourced data</w:t>
      </w:r>
    </w:p>
    <w:p>
      <w:pPr>
        <w:pStyle w:val="Heading1"/>
        <w:spacing w:after="160" w:before="320"/>
      </w:pPr>
      <w:r>
        <w:t xml:space="preserve">10. Why Now</w:t>
      </w:r>
    </w:p>
    <w:p>
      <w:pPr>
        <w:pStyle w:val="ListParagraph"/>
        <w:numPr>
          <w:ilvl w:val="0"/>
          <w:numId w:val="2"/>
        </w:numPr>
        <w:spacing w:after="70"/>
      </w:pPr>
      <w:r>
        <w:t xml:space="preserve">AI infrastructure cost has fallen sharply since 2020, making optimisation capability that once required a large bespoke engineering investment commercially viable at mid-market price points.</w:t>
      </w:r>
    </w:p>
    <w:p>
      <w:pPr>
        <w:pStyle w:val="ListParagraph"/>
        <w:numPr>
          <w:ilvl w:val="0"/>
          <w:numId w:val="2"/>
        </w:numPr>
        <w:spacing w:after="70"/>
      </w:pPr>
      <w:r>
        <w:t xml:space="preserve">Labour cost pressure (ongoing minimum-wage increases across Australia, UK, and Canada) makes every percentage point of labour efficiency worth more than it has been historically.</w:t>
      </w:r>
    </w:p>
    <w:p>
      <w:pPr>
        <w:pStyle w:val="ListParagraph"/>
        <w:numPr>
          <w:ilvl w:val="0"/>
          <w:numId w:val="2"/>
        </w:numPr>
        <w:spacing w:after="70"/>
      </w:pPr>
      <w:r>
        <w:t xml:space="preserve">The mid-market band remains underserved by both simple scheduling apps and complex enterprise systems — unchanged from v1.0.</w:t>
      </w:r>
    </w:p>
    <w:p>
      <w:pPr>
        <w:pStyle w:val="ListParagraph"/>
        <w:numPr>
          <w:ilvl w:val="0"/>
          <w:numId w:val="2"/>
        </w:numPr>
        <w:spacing w:after="70"/>
      </w:pPr>
      <w:r>
        <w:t xml:space="preserve">New in this revision: both major incumbents (Deputy, UKG) now expose mature enough public APIs to build a genuine overlay product against — this was not reliably true when v1.0 was written, and is what makes the Overlay motion viable now rather than aspirational.</w:t>
      </w:r>
    </w:p>
    <w:p>
      <w:pPr>
        <w:pStyle w:val="Heading1"/>
        <w:spacing w:after="160" w:before="320"/>
      </w:pPr>
      <w:r>
        <w:t xml:space="preserve">11. Open Items</w:t>
      </w:r>
    </w:p>
    <w:p>
      <w:pPr>
        <w:pStyle w:val="ListParagraph"/>
        <w:numPr>
          <w:ilvl w:val="0"/>
          <w:numId w:val="2"/>
        </w:numPr>
        <w:spacing w:after="70"/>
      </w:pPr>
      <w:r>
        <w:t xml:space="preserve">Final pricing (§5.2) requires sign-off from a pricing owner before external use.</w:t>
      </w:r>
    </w:p>
    <w:p>
      <w:pPr>
        <w:pStyle w:val="ListParagraph"/>
        <w:numPr>
          <w:ilvl w:val="0"/>
          <w:numId w:val="2"/>
        </w:numPr>
        <w:spacing w:after="70"/>
      </w:pPr>
      <w:r>
        <w:t xml:space="preserve">TAM/CAGR figures (§2.1) require sourcing verification before use in investor or board materials.</w:t>
      </w:r>
    </w:p>
    <w:p>
      <w:pPr>
        <w:pStyle w:val="ListParagraph"/>
        <w:numPr>
          <w:ilvl w:val="0"/>
          <w:numId w:val="2"/>
        </w:numPr>
        <w:spacing w:after="70"/>
      </w:pPr>
      <w:r>
        <w:t xml:space="preserve">Certification/skills data is not natively modelled by either Deputy or UKG — Overlay customers without a separate LMS will see reduced confidence scores on Training &amp; Certification Coverage outputs until this is addressed.</w:t>
      </w:r>
    </w:p>
    <w:p>
      <w:pPr>
        <w:pStyle w:val="ListParagraph"/>
        <w:numPr>
          <w:ilvl w:val="0"/>
          <w:numId w:val="2"/>
        </w:numPr>
        <w:spacing w:after="70"/>
      </w:pPr>
      <w:r>
        <w:t xml:space="preserve">Jurisdictional privacy language: this document deliberately omits GDPR references present in earlier Tempo/WIEP materials, since the stated target markets (Australia, NZ, UK, Canada) are not uniformly EU-regulated — correct regime references (e.g. Australian Privacy Act 1988, UK GDPR, PIPEDA) should be confirmed with legal before customer-facing use.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2026-08-14T23:10:28.237Z</dcterms:created>
  <dcterms:modified xsi:type="dcterms:W3CDTF">2026-08-14T23:10:28.237Z</dcterms:modified>
</cp:coreProperties>
</file>

<file path=docProps/custom.xml><?xml version="1.0" encoding="utf-8"?>
<Properties xmlns="http://schemas.openxmlformats.org/officeDocument/2006/custom-properties" xmlns:vt="http://schemas.openxmlformats.org/officeDocument/2006/docPropsVTypes"/>
</file>