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E7A13" w14:textId="77777777" w:rsidR="005E532B" w:rsidRDefault="005E532B">
      <w:pPr>
        <w:rPr>
          <w:rFonts w:ascii="Century Schoolbook" w:hAnsi="Century Schoolbook"/>
          <w:sz w:val="24"/>
        </w:rPr>
      </w:pPr>
      <w:r w:rsidRPr="005E532B">
        <w:rPr>
          <w:rFonts w:ascii="Century Schoolbook" w:hAnsi="Century Schoolbook"/>
          <w:sz w:val="24"/>
        </w:rPr>
        <w:t>Austin Spiller</w:t>
      </w:r>
    </w:p>
    <w:p w14:paraId="70ADECC3" w14:textId="77777777" w:rsidR="00937EA3" w:rsidRDefault="005E532B">
      <w:pPr>
        <w:rPr>
          <w:rFonts w:ascii="Century Schoolbook" w:hAnsi="Century Schoolbook"/>
          <w:sz w:val="24"/>
        </w:rPr>
      </w:pPr>
      <w:r w:rsidRPr="005E532B">
        <w:rPr>
          <w:rFonts w:ascii="Century Schoolbook" w:hAnsi="Century Schoolbook"/>
          <w:sz w:val="24"/>
        </w:rPr>
        <w:t>LIS 4000</w:t>
      </w:r>
    </w:p>
    <w:p w14:paraId="5B60E814" w14:textId="77777777" w:rsidR="005E532B" w:rsidRDefault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10/29/18</w:t>
      </w:r>
    </w:p>
    <w:p w14:paraId="192A709A" w14:textId="6A85707F" w:rsidR="005E532B" w:rsidRDefault="005E532B" w:rsidP="00FB53CC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Problem Statement and Starting References: Archival Diversity or Disrupting Archival Collections Bias</w:t>
      </w:r>
    </w:p>
    <w:p w14:paraId="0C2E879C" w14:textId="521760ED" w:rsidR="005E532B" w:rsidRDefault="004E0525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Archival collections </w:t>
      </w:r>
      <w:r w:rsidR="00F731BC">
        <w:rPr>
          <w:rFonts w:ascii="Century Schoolbook" w:hAnsi="Century Schoolbook"/>
          <w:sz w:val="24"/>
        </w:rPr>
        <w:t xml:space="preserve">in </w:t>
      </w:r>
      <w:r w:rsidR="0085382B">
        <w:rPr>
          <w:rFonts w:ascii="Century Schoolbook" w:hAnsi="Century Schoolbook"/>
          <w:sz w:val="24"/>
        </w:rPr>
        <w:t xml:space="preserve">the United States reflect and embody </w:t>
      </w:r>
      <w:r w:rsidR="00B95A7E">
        <w:rPr>
          <w:rFonts w:ascii="Century Schoolbook" w:hAnsi="Century Schoolbook"/>
          <w:sz w:val="24"/>
        </w:rPr>
        <w:t xml:space="preserve">values </w:t>
      </w:r>
      <w:r w:rsidR="002A12F6">
        <w:rPr>
          <w:rFonts w:ascii="Century Schoolbook" w:hAnsi="Century Schoolbook"/>
          <w:sz w:val="24"/>
        </w:rPr>
        <w:t xml:space="preserve">from the colonial origins of </w:t>
      </w:r>
      <w:r w:rsidR="002A12F6" w:rsidRPr="006966C2">
        <w:rPr>
          <w:rFonts w:ascii="Century Schoolbook" w:hAnsi="Century Schoolbook"/>
          <w:i/>
          <w:sz w:val="24"/>
        </w:rPr>
        <w:t>history</w:t>
      </w:r>
      <w:r w:rsidR="002A12F6">
        <w:rPr>
          <w:rFonts w:ascii="Century Schoolbook" w:hAnsi="Century Schoolbook"/>
          <w:sz w:val="24"/>
        </w:rPr>
        <w:t xml:space="preserve"> (</w:t>
      </w:r>
      <w:r w:rsidR="006966C2">
        <w:rPr>
          <w:rFonts w:ascii="Century Schoolbook" w:hAnsi="Century Schoolbook"/>
          <w:sz w:val="24"/>
        </w:rPr>
        <w:t xml:space="preserve">specifically a counterpoint to </w:t>
      </w:r>
      <w:r w:rsidR="000D6BB6">
        <w:rPr>
          <w:rFonts w:ascii="Century Schoolbook" w:hAnsi="Century Schoolbook"/>
          <w:sz w:val="24"/>
        </w:rPr>
        <w:t>prehistory)</w:t>
      </w:r>
      <w:r w:rsidR="009C542B">
        <w:rPr>
          <w:rFonts w:ascii="Century Schoolbook" w:hAnsi="Century Schoolbook"/>
          <w:sz w:val="24"/>
        </w:rPr>
        <w:t xml:space="preserve"> and the capitali</w:t>
      </w:r>
      <w:r w:rsidR="00EA65F1">
        <w:rPr>
          <w:rFonts w:ascii="Century Schoolbook" w:hAnsi="Century Schoolbook"/>
          <w:sz w:val="24"/>
        </w:rPr>
        <w:t xml:space="preserve">st </w:t>
      </w:r>
      <w:r w:rsidR="004861C1">
        <w:rPr>
          <w:rFonts w:ascii="Century Schoolbook" w:hAnsi="Century Schoolbook"/>
          <w:sz w:val="24"/>
        </w:rPr>
        <w:t>philosophies</w:t>
      </w:r>
      <w:r w:rsidR="00BA7D41">
        <w:rPr>
          <w:rFonts w:ascii="Century Schoolbook" w:hAnsi="Century Schoolbook"/>
          <w:sz w:val="24"/>
        </w:rPr>
        <w:t xml:space="preserve"> t</w:t>
      </w:r>
      <w:r w:rsidR="00EA65F1">
        <w:rPr>
          <w:rFonts w:ascii="Century Schoolbook" w:hAnsi="Century Schoolbook"/>
          <w:sz w:val="24"/>
        </w:rPr>
        <w:t xml:space="preserve">hat </w:t>
      </w:r>
      <w:r w:rsidR="00BA7D41">
        <w:rPr>
          <w:rFonts w:ascii="Century Schoolbook" w:hAnsi="Century Schoolbook"/>
          <w:sz w:val="24"/>
        </w:rPr>
        <w:t>the US is still laboring under.</w:t>
      </w:r>
      <w:r w:rsidR="0083696C">
        <w:rPr>
          <w:rFonts w:ascii="Century Schoolbook" w:hAnsi="Century Schoolbook"/>
          <w:sz w:val="24"/>
        </w:rPr>
        <w:t xml:space="preserve"> Values such as inequity, exploitation, and </w:t>
      </w:r>
      <w:r w:rsidR="002524BA">
        <w:rPr>
          <w:rFonts w:ascii="Century Schoolbook" w:hAnsi="Century Schoolbook"/>
          <w:sz w:val="24"/>
        </w:rPr>
        <w:t>what it means to be (and to be recognized as)</w:t>
      </w:r>
      <w:r w:rsidR="00BA4BED">
        <w:rPr>
          <w:rFonts w:ascii="Century Schoolbook" w:hAnsi="Century Schoolbook"/>
          <w:sz w:val="24"/>
        </w:rPr>
        <w:t xml:space="preserve"> not just “important” but as </w:t>
      </w:r>
      <w:r w:rsidR="002524BA">
        <w:rPr>
          <w:rFonts w:ascii="Century Schoolbook" w:hAnsi="Century Schoolbook"/>
          <w:sz w:val="24"/>
        </w:rPr>
        <w:t>human</w:t>
      </w:r>
      <w:r w:rsidR="005D356B">
        <w:rPr>
          <w:rFonts w:ascii="Century Schoolbook" w:hAnsi="Century Schoolbook"/>
          <w:sz w:val="24"/>
        </w:rPr>
        <w:t xml:space="preserve"> have infiltrated </w:t>
      </w:r>
      <w:r w:rsidR="00F53E82">
        <w:rPr>
          <w:rFonts w:ascii="Century Schoolbook" w:hAnsi="Century Schoolbook"/>
          <w:sz w:val="24"/>
        </w:rPr>
        <w:t xml:space="preserve">and become internalized in our collective consciousness. Archives, </w:t>
      </w:r>
      <w:r w:rsidR="00172239">
        <w:rPr>
          <w:rFonts w:ascii="Century Schoolbook" w:hAnsi="Century Schoolbook"/>
          <w:sz w:val="24"/>
        </w:rPr>
        <w:t xml:space="preserve">as human designed containers of </w:t>
      </w:r>
      <w:r w:rsidR="00E64CAF">
        <w:rPr>
          <w:rFonts w:ascii="Century Schoolbook" w:hAnsi="Century Schoolbook"/>
          <w:sz w:val="24"/>
        </w:rPr>
        <w:t>“what has come before”, are just as susceptible to</w:t>
      </w:r>
      <w:r w:rsidR="00EB01E5">
        <w:rPr>
          <w:rFonts w:ascii="Century Schoolbook" w:hAnsi="Century Schoolbook"/>
          <w:sz w:val="24"/>
        </w:rPr>
        <w:t xml:space="preserve"> </w:t>
      </w:r>
      <w:r w:rsidR="0046323B">
        <w:rPr>
          <w:rFonts w:ascii="Century Schoolbook" w:hAnsi="Century Schoolbook"/>
          <w:sz w:val="24"/>
        </w:rPr>
        <w:t xml:space="preserve">internalizing these values. However, </w:t>
      </w:r>
      <w:r w:rsidR="008B2EF4">
        <w:rPr>
          <w:rFonts w:ascii="Century Schoolbook" w:hAnsi="Century Schoolbook"/>
          <w:sz w:val="24"/>
        </w:rPr>
        <w:t>the primary sources archives tend to be most concerned with remain unaltered and open to new</w:t>
      </w:r>
      <w:r w:rsidR="001956B8">
        <w:rPr>
          <w:rFonts w:ascii="Century Schoolbook" w:hAnsi="Century Schoolbook"/>
          <w:sz w:val="24"/>
        </w:rPr>
        <w:t xml:space="preserve"> (or newly legitimatized) interpretations. </w:t>
      </w:r>
      <w:r w:rsidR="00465ED1">
        <w:rPr>
          <w:rFonts w:ascii="Century Schoolbook" w:hAnsi="Century Schoolbook"/>
          <w:sz w:val="24"/>
        </w:rPr>
        <w:t xml:space="preserve">Decolonizing efforts </w:t>
      </w:r>
      <w:r w:rsidR="007A2CD3">
        <w:rPr>
          <w:rFonts w:ascii="Century Schoolbook" w:hAnsi="Century Schoolbook"/>
          <w:sz w:val="24"/>
        </w:rPr>
        <w:t xml:space="preserve">began decades ago and are picking up more traction with each passing moment and incendiary action by the current president. </w:t>
      </w:r>
    </w:p>
    <w:p w14:paraId="65EE443B" w14:textId="1C39A8C2" w:rsidR="00471F43" w:rsidRDefault="00471F43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The problem of how to shrug off the burden </w:t>
      </w:r>
      <w:r w:rsidR="006A7356">
        <w:rPr>
          <w:rFonts w:ascii="Century Schoolbook" w:hAnsi="Century Schoolbook"/>
          <w:sz w:val="24"/>
        </w:rPr>
        <w:t xml:space="preserve">of colonial histories while retaining important, pertinent, and necessary information at the same time </w:t>
      </w:r>
      <w:r w:rsidR="00CE5CC6">
        <w:rPr>
          <w:rFonts w:ascii="Century Schoolbook" w:hAnsi="Century Schoolbook"/>
          <w:sz w:val="24"/>
        </w:rPr>
        <w:t xml:space="preserve">as </w:t>
      </w:r>
      <w:r w:rsidR="006A7356">
        <w:rPr>
          <w:rFonts w:ascii="Century Schoolbook" w:hAnsi="Century Schoolbook"/>
          <w:sz w:val="24"/>
        </w:rPr>
        <w:t>adding</w:t>
      </w:r>
      <w:r w:rsidR="009E4929">
        <w:rPr>
          <w:rFonts w:ascii="Century Schoolbook" w:hAnsi="Century Schoolbook"/>
          <w:sz w:val="24"/>
        </w:rPr>
        <w:t xml:space="preserve"> un(der)represented histories, voices, and </w:t>
      </w:r>
      <w:r w:rsidR="00CE5CC6">
        <w:rPr>
          <w:rFonts w:ascii="Century Schoolbook" w:hAnsi="Century Schoolbook"/>
          <w:sz w:val="24"/>
        </w:rPr>
        <w:t xml:space="preserve">items does not lend itself to a simple solution. The aim of the literature review to follow </w:t>
      </w:r>
      <w:r w:rsidR="00495EBE">
        <w:rPr>
          <w:rFonts w:ascii="Century Schoolbook" w:hAnsi="Century Schoolbook"/>
          <w:sz w:val="24"/>
        </w:rPr>
        <w:t xml:space="preserve">is to reveal aspects of </w:t>
      </w:r>
      <w:r w:rsidR="00800678">
        <w:rPr>
          <w:rFonts w:ascii="Century Schoolbook" w:hAnsi="Century Schoolbook"/>
          <w:sz w:val="24"/>
        </w:rPr>
        <w:t xml:space="preserve">colonial history mechanisms, understand how to situate archives in contemporary context, and </w:t>
      </w:r>
      <w:r w:rsidR="00EA5210">
        <w:rPr>
          <w:rFonts w:ascii="Century Schoolbook" w:hAnsi="Century Schoolbook"/>
          <w:sz w:val="24"/>
        </w:rPr>
        <w:t xml:space="preserve">most importantly how </w:t>
      </w:r>
      <w:r w:rsidR="00D122DA">
        <w:rPr>
          <w:rFonts w:ascii="Century Schoolbook" w:hAnsi="Century Schoolbook"/>
          <w:sz w:val="24"/>
        </w:rPr>
        <w:t>and to what effect archivists</w:t>
      </w:r>
      <w:r w:rsidR="00FB53CC">
        <w:rPr>
          <w:rFonts w:ascii="Century Schoolbook" w:hAnsi="Century Schoolbook"/>
          <w:sz w:val="24"/>
        </w:rPr>
        <w:t xml:space="preserve"> have begun to disrupt colonial collections biases. </w:t>
      </w:r>
    </w:p>
    <w:p w14:paraId="6B0BCE2D" w14:textId="3EF17AED" w:rsidR="00FB53CC" w:rsidRDefault="00FB53CC" w:rsidP="005E532B">
      <w:pPr>
        <w:rPr>
          <w:rFonts w:ascii="Century Schoolbook" w:hAnsi="Century Schoolbook"/>
          <w:sz w:val="24"/>
        </w:rPr>
      </w:pPr>
    </w:p>
    <w:p w14:paraId="5105A333" w14:textId="594EC8D2" w:rsidR="00FB53CC" w:rsidRDefault="00FB53CC" w:rsidP="005E532B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References</w:t>
      </w:r>
    </w:p>
    <w:p w14:paraId="187EBB54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Ahmed, S. (2018). “Seeking Information from the Lips of People”: oral history in the archives of Qatar and the Gulf region.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Archival Science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18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(3), 225–240. </w:t>
      </w:r>
      <w:hyperlink r:id="rId5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https://doi.org/10.1007/s10502-018-9293-8</w:t>
        </w:r>
      </w:hyperlink>
    </w:p>
    <w:p w14:paraId="50E54534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Caswell, M. (2013). On archival pluralism: what religious pluralism (and its critics) can teach us about archives.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Archival Science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(4), 273–292. </w:t>
      </w:r>
      <w:hyperlink r:id="rId6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https://doi.org/10.1007/s10502-012-9197-y</w:t>
        </w:r>
      </w:hyperlink>
    </w:p>
    <w:p w14:paraId="069CC4DE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Caswell, M. (2014). Seeing Yourself in History: Community Archives and the Fight Against Symbolic Annihilation.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The Public Historian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36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(4), 26–37. </w:t>
      </w:r>
      <w:hyperlink r:id="rId7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https://doi.org/10.1525/tph.2014.36.4.26</w:t>
        </w:r>
      </w:hyperlink>
    </w:p>
    <w:p w14:paraId="47393E7B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Caswell, M., Harter, C., &amp; Jules, B. (2017). Diversifying the Digital Historical Record: Integrating Community Archives in National Strategies for Access to Digital Cultural Heritage.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D-Lib Magazine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23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(5/6). </w:t>
      </w:r>
      <w:hyperlink r:id="rId8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https://doi.org/10.1045/may2017-caswell</w:t>
        </w:r>
      </w:hyperlink>
    </w:p>
    <w:p w14:paraId="7A1ED99C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Caswell, M., </w:t>
      </w:r>
      <w:proofErr w:type="spellStart"/>
      <w:r w:rsidRPr="00991C30">
        <w:rPr>
          <w:rFonts w:ascii="Times New Roman" w:eastAsia="Times New Roman" w:hAnsi="Times New Roman" w:cs="Times New Roman"/>
          <w:sz w:val="24"/>
          <w:szCs w:val="24"/>
        </w:rPr>
        <w:t>Migoni</w:t>
      </w:r>
      <w:proofErr w:type="spellEnd"/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A. A., Geraci, N., &amp; </w:t>
      </w:r>
      <w:proofErr w:type="spellStart"/>
      <w:r w:rsidRPr="00991C30">
        <w:rPr>
          <w:rFonts w:ascii="Times New Roman" w:eastAsia="Times New Roman" w:hAnsi="Times New Roman" w:cs="Times New Roman"/>
          <w:sz w:val="24"/>
          <w:szCs w:val="24"/>
        </w:rPr>
        <w:t>Cifor</w:t>
      </w:r>
      <w:proofErr w:type="spellEnd"/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M. (2017). ‘To Be Able to Imagine Otherwise’: community archives and the importance of representation.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Archives and Records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(1), 5–26. </w:t>
      </w:r>
      <w:hyperlink r:id="rId9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https://doi.org/10.1080/23257962.2016.1260445</w:t>
        </w:r>
      </w:hyperlink>
    </w:p>
    <w:p w14:paraId="0C8F2937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Cook, T. (2013). Evidence, memory, identity, and community: four shifting archival paradigms.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Archival Science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(2–3), 95–120. </w:t>
      </w:r>
      <w:hyperlink r:id="rId10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https://doi.org/10.1007/s10502-012-9180-7</w:t>
        </w:r>
      </w:hyperlink>
    </w:p>
    <w:p w14:paraId="6B2CDA0D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Daniel, D. (2010). Documenting the Immigrant and Ethnic Experience in American Archives.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The American Archivist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73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(1), 82–104. </w:t>
      </w:r>
      <w:hyperlink r:id="rId11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https://doi.org/10.17723/aarc.73.1.k2837h27wv1201hv</w:t>
        </w:r>
      </w:hyperlink>
    </w:p>
    <w:p w14:paraId="32B611F8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Ethics in Archives: Diversity, Inclusion, and the Archival Record. (n.d.). Retrieved October 29, 2018, from </w:t>
      </w:r>
      <w:hyperlink r:id="rId12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http://www.lib.ncsu.edu/news/special-collections/ethics-in-archives%3A-diversity--inclusion--and-the-archival-record</w:t>
        </w:r>
      </w:hyperlink>
    </w:p>
    <w:p w14:paraId="0DDC2AA4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>Hughes-Watkins, L. (2018). Moving Toward a Reparative Archive: A Roadmap for a Holistic Approach to Disrupting Homogenous Histories in Academic Repositories and Creating Inclusive Spaces for Marginalized Voices, 19.</w:t>
      </w:r>
    </w:p>
    <w:p w14:paraId="525C9D5C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Nicholls, S., Booker, L., Thorpe, K., Jackson, M., </w:t>
      </w:r>
      <w:proofErr w:type="spellStart"/>
      <w:r w:rsidRPr="00991C30">
        <w:rPr>
          <w:rFonts w:ascii="Times New Roman" w:eastAsia="Times New Roman" w:hAnsi="Times New Roman" w:cs="Times New Roman"/>
          <w:sz w:val="24"/>
          <w:szCs w:val="24"/>
        </w:rPr>
        <w:t>Girault</w:t>
      </w:r>
      <w:proofErr w:type="spellEnd"/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C., Briggs, R., &amp; Jones, C. (2016). From principle to practice: community consultation regarding access to Indigenous language material in archival records at the State Library of New South Wales.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Archives and Manuscripts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(3), 110–123. </w:t>
      </w:r>
      <w:hyperlink r:id="rId13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https://doi.org/10.1080/01576895.2016.1239116</w:t>
        </w:r>
      </w:hyperlink>
    </w:p>
    <w:p w14:paraId="460DACB6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Richards, I. (2010).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Archives as a Cornerstone of Community Growth: Developing Community Archives in Brandon, Manitoba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 (M.A.). University of Manitoba (Canada), Canada. Retrieved from </w:t>
      </w:r>
      <w:hyperlink r:id="rId14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http://search.proquest.com/docview/848638483/abstract/FC78DD4EF5514DA5PQ/1</w:t>
        </w:r>
      </w:hyperlink>
    </w:p>
    <w:p w14:paraId="15A7973D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1C30">
        <w:rPr>
          <w:rFonts w:ascii="Times New Roman" w:eastAsia="Times New Roman" w:hAnsi="Times New Roman" w:cs="Times New Roman"/>
          <w:sz w:val="24"/>
          <w:szCs w:val="24"/>
        </w:rPr>
        <w:t>Spalenka</w:t>
      </w:r>
      <w:proofErr w:type="spellEnd"/>
      <w:r w:rsidRPr="00991C30">
        <w:rPr>
          <w:rFonts w:ascii="Times New Roman" w:eastAsia="Times New Roman" w:hAnsi="Times New Roman" w:cs="Times New Roman"/>
          <w:sz w:val="24"/>
          <w:szCs w:val="24"/>
        </w:rPr>
        <w:t>, D., &amp; Phan, H. (n.d.). Preservation Workshops with Restricted Resources, 8.</w:t>
      </w:r>
    </w:p>
    <w:p w14:paraId="5961BFD2" w14:textId="77777777" w:rsidR="00991C30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Thorpe, K. (2014). Indigenous records: connecting, critiquing and diversifying collections.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Archives and Manuscripts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42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(2), 211–214. </w:t>
      </w:r>
      <w:hyperlink r:id="rId15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https://doi.org/10.1080/01576895.2014.911692</w:t>
        </w:r>
      </w:hyperlink>
    </w:p>
    <w:p w14:paraId="3E7AF555" w14:textId="5C5B0451" w:rsidR="00727737" w:rsidRPr="00991C30" w:rsidRDefault="00991C30" w:rsidP="00991C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White, K. L. (2008). </w:t>
      </w:r>
      <w:r w:rsidRPr="00991C30">
        <w:rPr>
          <w:rFonts w:ascii="Times New Roman" w:eastAsia="Times New Roman" w:hAnsi="Times New Roman" w:cs="Times New Roman"/>
          <w:i/>
          <w:iCs/>
          <w:sz w:val="24"/>
          <w:szCs w:val="24"/>
        </w:rPr>
        <w:t>The dynamics of race and remembering in a “colorblind” society: A case study of racial paradigms and archival education in Mexico</w:t>
      </w:r>
      <w:r w:rsidRPr="00991C30">
        <w:rPr>
          <w:rFonts w:ascii="Times New Roman" w:eastAsia="Times New Roman" w:hAnsi="Times New Roman" w:cs="Times New Roman"/>
          <w:sz w:val="24"/>
          <w:szCs w:val="24"/>
        </w:rPr>
        <w:t xml:space="preserve"> (Ph.D.). University of California, Los Angeles, United States -- California. Retrieved from </w:t>
      </w:r>
      <w:hyperlink r:id="rId16" w:history="1">
        <w:r w:rsidRPr="00991C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http://search.proquest.com/docview/304654467/abstract/FC6F0F18A15F4223PQ/1</w:t>
        </w:r>
      </w:hyperlink>
    </w:p>
    <w:sectPr w:rsidR="00727737" w:rsidRPr="0099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32B"/>
    <w:rsid w:val="00080BA3"/>
    <w:rsid w:val="000D6BB6"/>
    <w:rsid w:val="00172239"/>
    <w:rsid w:val="001956B8"/>
    <w:rsid w:val="002524BA"/>
    <w:rsid w:val="002A12F6"/>
    <w:rsid w:val="002A55AB"/>
    <w:rsid w:val="002B35AD"/>
    <w:rsid w:val="0046323B"/>
    <w:rsid w:val="00465ED1"/>
    <w:rsid w:val="00471F43"/>
    <w:rsid w:val="004861C1"/>
    <w:rsid w:val="00495EBE"/>
    <w:rsid w:val="004E0525"/>
    <w:rsid w:val="005C741D"/>
    <w:rsid w:val="005D30F8"/>
    <w:rsid w:val="005D356B"/>
    <w:rsid w:val="005E532B"/>
    <w:rsid w:val="006626C3"/>
    <w:rsid w:val="006966C2"/>
    <w:rsid w:val="006A7356"/>
    <w:rsid w:val="00727737"/>
    <w:rsid w:val="007A2CD3"/>
    <w:rsid w:val="00800678"/>
    <w:rsid w:val="0083696C"/>
    <w:rsid w:val="0085382B"/>
    <w:rsid w:val="008B2EF4"/>
    <w:rsid w:val="00937EA3"/>
    <w:rsid w:val="00991C30"/>
    <w:rsid w:val="009B536D"/>
    <w:rsid w:val="009C542B"/>
    <w:rsid w:val="009E4929"/>
    <w:rsid w:val="00B95A7E"/>
    <w:rsid w:val="00BA4BED"/>
    <w:rsid w:val="00BA7D41"/>
    <w:rsid w:val="00CE5CC6"/>
    <w:rsid w:val="00D122DA"/>
    <w:rsid w:val="00D632A9"/>
    <w:rsid w:val="00D66C9D"/>
    <w:rsid w:val="00E64CAF"/>
    <w:rsid w:val="00EA5210"/>
    <w:rsid w:val="00EA65F1"/>
    <w:rsid w:val="00EB01E5"/>
    <w:rsid w:val="00EE7D81"/>
    <w:rsid w:val="00F53E82"/>
    <w:rsid w:val="00F731BC"/>
    <w:rsid w:val="00FB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894A"/>
  <w15:chartTrackingRefBased/>
  <w15:docId w15:val="{2C8DA7FF-E010-4368-9AE1-9591AF24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9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45/may2017-caswell" TargetMode="External"/><Relationship Id="rId13" Type="http://schemas.openxmlformats.org/officeDocument/2006/relationships/hyperlink" Target="https://doi.org/10.1080/01576895.2016.123911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525/tph.2014.36.4.26" TargetMode="External"/><Relationship Id="rId12" Type="http://schemas.openxmlformats.org/officeDocument/2006/relationships/hyperlink" Target="http://www.lib.ncsu.edu/news/special-collections/ethics-in-archives%3A-diversity--inclusion--and-the-archival-rec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earch.proquest.com/docview/304654467/abstract/FC6F0F18A15F4223PQ/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502-012-9197-y" TargetMode="External"/><Relationship Id="rId11" Type="http://schemas.openxmlformats.org/officeDocument/2006/relationships/hyperlink" Target="https://doi.org/10.17723/aarc.73.1.k2837h27wv1201hv" TargetMode="External"/><Relationship Id="rId5" Type="http://schemas.openxmlformats.org/officeDocument/2006/relationships/hyperlink" Target="https://doi.org/10.1007/s10502-018-9293-8" TargetMode="External"/><Relationship Id="rId15" Type="http://schemas.openxmlformats.org/officeDocument/2006/relationships/hyperlink" Target="https://doi.org/10.1080/01576895.2014.911692" TargetMode="External"/><Relationship Id="rId10" Type="http://schemas.openxmlformats.org/officeDocument/2006/relationships/hyperlink" Target="https://doi.org/10.1007/s10502-012-9180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23257962.2016.1260445" TargetMode="External"/><Relationship Id="rId14" Type="http://schemas.openxmlformats.org/officeDocument/2006/relationships/hyperlink" Target="http://search.proquest.com/docview/848638483/abstract/FC78DD4EF5514DA5PQ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54BC5-A25F-4961-84DB-350B4284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Spiller</dc:creator>
  <cp:keywords/>
  <dc:description/>
  <cp:lastModifiedBy>Austin Spiller</cp:lastModifiedBy>
  <cp:revision>46</cp:revision>
  <dcterms:created xsi:type="dcterms:W3CDTF">2018-10-29T21:40:00Z</dcterms:created>
  <dcterms:modified xsi:type="dcterms:W3CDTF">2018-11-01T21:26:00Z</dcterms:modified>
</cp:coreProperties>
</file>