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a3"/>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w:t>
      </w:r>
      <w:proofErr w:type="gramStart"/>
      <w:r w:rsidR="00392DBA">
        <w:t>field, but</w:t>
      </w:r>
      <w:proofErr w:type="gramEnd"/>
      <w:r w:rsidR="00392DBA">
        <w:t xml:space="preserve"> are not required. Put a space between authors’ initials. </w:t>
      </w:r>
      <w:r w:rsidR="00DA4345">
        <w:rPr>
          <w:sz w:val="20"/>
          <w:szCs w:val="20"/>
        </w:rPr>
        <w:t xml:space="preserve">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00DA4345">
        <w:rPr>
          <w:sz w:val="20"/>
          <w:szCs w:val="20"/>
        </w:rPr>
        <w:t>paragraph, and</w:t>
      </w:r>
      <w:proofErr w:type="gramEnd"/>
      <w:r w:rsidR="00DA4345">
        <w:rPr>
          <w:sz w:val="20"/>
          <w:szCs w:val="20"/>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aa"/>
            <w:b w:val="0"/>
          </w:rPr>
          <w:t>keywords@ieee.org</w:t>
        </w:r>
      </w:hyperlink>
      <w:r>
        <w:t xml:space="preserve"> or visit </w:t>
      </w:r>
      <w:hyperlink r:id="rId9" w:history="1">
        <w:r w:rsidRPr="00F65266">
          <w:rPr>
            <w:rStyle w:val="aa"/>
            <w:b w:val="0"/>
            <w:bCs w:val="0"/>
            <w:szCs w:val="20"/>
          </w:rPr>
          <w:t>http://www.ieee.org/organizations/pubs/ani_prod/keywrd98.txt</w:t>
        </w:r>
      </w:hyperlink>
    </w:p>
    <w:p w:rsidR="00E97402" w:rsidRDefault="00E97402"/>
    <w:bookmarkEnd w:id="0"/>
    <w:p w:rsidR="00E97402" w:rsidRDefault="00E97402">
      <w:pPr>
        <w:pStyle w:val="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aa"/>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aa"/>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2"/>
      </w:pPr>
      <w:r>
        <w:t>Abbreviations and Acronyms</w:t>
      </w:r>
      <w:r w:rsidR="008B5537">
        <w:t>(</w:t>
      </w:r>
      <w:r w:rsidR="008B5537">
        <w:rPr>
          <w:rFonts w:hint="eastAsia"/>
          <w:lang w:eastAsia="zh-CN"/>
        </w:rPr>
        <w:t>缩略词</w:t>
      </w:r>
      <w:r w:rsidR="008B5537">
        <w:rPr>
          <w:rFonts w:hint="eastAsia"/>
          <w:lang w:eastAsia="zh-CN"/>
        </w:rPr>
        <w:t>)</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E97B99" w:rsidRDefault="00E97B99" w:rsidP="00E97B99">
      <w:pPr>
        <w:pStyle w:val="2"/>
      </w:pPr>
      <w:r>
        <w:t>Equations</w:t>
      </w:r>
    </w:p>
    <w:p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rsidR="00E97B99" w:rsidRDefault="00E97B99" w:rsidP="00E97B99">
      <w:pPr>
        <w:pStyle w:val="1"/>
      </w:pPr>
      <w:r>
        <w:t>Units</w:t>
      </w:r>
    </w:p>
    <w:p w:rsidR="00E97B99" w:rsidRDefault="00E97B99" w:rsidP="00E97B99">
      <w:pPr>
        <w:pStyle w:val="Text"/>
      </w:pPr>
      <w:r>
        <w:t xml:space="preserve">Use either SI (MKS) or CGS as primary units. (SI units are </w:t>
      </w:r>
      <w:r>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12" w:tgtFrame="_blank" w:history="1">
        <w:r w:rsidR="00A91937" w:rsidRPr="003D1EBF">
          <w:rPr>
            <w:rStyle w:val="aa"/>
            <w:color w:val="1155CC"/>
            <w:sz w:val="19"/>
            <w:szCs w:val="19"/>
            <w:shd w:val="clear" w:color="auto" w:fill="FFFFFF"/>
          </w:rPr>
          <w:t>www.ieee.org/authortools</w:t>
        </w:r>
      </w:hyperlink>
      <w:r w:rsidR="00A91937">
        <w:rPr>
          <w:rStyle w:val="aa"/>
          <w:color w:val="1155CC"/>
          <w:sz w:val="19"/>
          <w:szCs w:val="19"/>
          <w:shd w:val="clear" w:color="auto" w:fill="FFFFFF"/>
        </w:rPr>
        <w:t>.</w:t>
      </w:r>
    </w:p>
    <w:p w:rsidR="00E97B99" w:rsidRDefault="007707AB" w:rsidP="001F4C5C">
      <w:pPr>
        <w:pStyle w:val="2"/>
        <w:numPr>
          <w:ilvl w:val="0"/>
          <w:numId w:val="0"/>
        </w:numPr>
      </w:pPr>
      <w:r>
        <w:rPr>
          <w:noProof/>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707AB" w:rsidP="00E97B99">
                            <w:pPr>
                              <w:pStyle w:val="a4"/>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a4"/>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a4"/>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a4"/>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a4"/>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a4"/>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a4"/>
                            </w:pPr>
                            <w:r>
                              <w:t xml:space="preserve">Vertical lines are optional in tables. Statements that serve as captions for the entire table do not need footnote letters. </w:t>
                            </w:r>
                          </w:p>
                          <w:p w:rsidR="007530A3" w:rsidRDefault="007530A3" w:rsidP="00E97B99">
                            <w:pPr>
                              <w:pStyle w:val="a4"/>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rsidR="007530A3" w:rsidRDefault="007530A3" w:rsidP="00E97B99">
                            <w:pPr>
                              <w:pStyle w:val="a4"/>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a4"/>
                      </w:pPr>
                      <w:r>
                        <w:t xml:space="preserve">Vertical lines are optional in tables. Statements that serve as captions for the entire table do not need footnote letters. </w:t>
                      </w:r>
                    </w:p>
                    <w:p w:rsidR="007530A3" w:rsidRDefault="007530A3" w:rsidP="00E97B99">
                      <w:pPr>
                        <w:pStyle w:val="a4"/>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rsidR="007530A3" w:rsidRDefault="007530A3" w:rsidP="00E97B99">
                      <w:pPr>
                        <w:pStyle w:val="a4"/>
                      </w:pPr>
                    </w:p>
                    <w:p w:rsidR="007530A3" w:rsidRDefault="007530A3" w:rsidP="00E97B99"/>
                  </w:txbxContent>
                </v:textbox>
                <w10:wrap type="square" anchorx="margin" anchory="margin"/>
              </v:shape>
            </w:pict>
          </mc:Fallback>
        </mc:AlternateContent>
      </w:r>
    </w:p>
    <w:p w:rsidR="001B36B1" w:rsidRPr="00E857A2" w:rsidRDefault="001B36B1" w:rsidP="001B36B1">
      <w:pPr>
        <w:pStyle w:val="1"/>
      </w:pPr>
      <w:r w:rsidRPr="00E857A2">
        <w:t>Guidelines for Graphics Preparation</w:t>
      </w:r>
      <w:r>
        <w:t xml:space="preserve"> </w:t>
      </w:r>
      <w:r w:rsidR="009E484E">
        <w:br/>
      </w:r>
      <w:r>
        <w:t>and Submission</w:t>
      </w:r>
    </w:p>
    <w:p w:rsidR="001B36B1" w:rsidRPr="00E857A2" w:rsidRDefault="001B36B1" w:rsidP="001F4C5C">
      <w:pPr>
        <w:pStyle w:val="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3"/>
        <w:jc w:val="both"/>
        <w:rPr>
          <w:rStyle w:val="20"/>
          <w:rFonts w:ascii="Times" w:hAnsi="Times" w:cs="Verdana"/>
          <w:i/>
          <w:color w:val="000000"/>
        </w:rPr>
      </w:pPr>
      <w:r w:rsidRPr="005052CD">
        <w:rPr>
          <w:rStyle w:val="20"/>
          <w:i/>
        </w:rPr>
        <w:t>Color/Grayscale figures</w:t>
      </w:r>
    </w:p>
    <w:p w:rsidR="001B36B1" w:rsidRPr="00113F26" w:rsidRDefault="0013354F" w:rsidP="001F4C5C">
      <w:pPr>
        <w:pStyle w:val="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3"/>
        <w:jc w:val="both"/>
        <w:rPr>
          <w:rStyle w:val="20"/>
          <w:rFonts w:ascii="Times" w:hAnsi="Times" w:cs="Verdana"/>
          <w:i/>
          <w:iCs/>
          <w:color w:val="000000"/>
        </w:rPr>
      </w:pPr>
      <w:r w:rsidRPr="005052CD">
        <w:rPr>
          <w:rStyle w:val="20"/>
          <w:i/>
        </w:rPr>
        <w:t>Line</w:t>
      </w:r>
      <w:r w:rsidR="00DE20DB">
        <w:rPr>
          <w:rStyle w:val="20"/>
          <w:i/>
        </w:rPr>
        <w:t xml:space="preserve"> A</w:t>
      </w:r>
      <w:r w:rsidRPr="005052CD">
        <w:rPr>
          <w:rStyle w:val="20"/>
          <w:i/>
        </w:rPr>
        <w:t>rt figures</w:t>
      </w:r>
    </w:p>
    <w:p w:rsidR="001B36B1" w:rsidRPr="00113F26" w:rsidRDefault="001B36B1" w:rsidP="001F4C5C">
      <w:pPr>
        <w:pStyle w:val="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3"/>
        <w:jc w:val="both"/>
        <w:rPr>
          <w:rStyle w:val="BodyText2"/>
          <w:rFonts w:ascii="Times" w:hAnsi="Times"/>
          <w:i w:val="0"/>
          <w:iCs w:val="0"/>
          <w:sz w:val="20"/>
          <w:szCs w:val="20"/>
        </w:rPr>
      </w:pPr>
      <w:r>
        <w:rPr>
          <w:rStyle w:val="20"/>
          <w:i/>
        </w:rPr>
        <w:t>Author p</w:t>
      </w:r>
      <w:r w:rsidR="001B36B1" w:rsidRPr="005052CD">
        <w:rPr>
          <w:rStyle w:val="20"/>
          <w:i/>
        </w:rPr>
        <w:t>hotos</w:t>
      </w:r>
    </w:p>
    <w:p w:rsidR="001B36B1" w:rsidRPr="00113F26" w:rsidRDefault="001B36B1" w:rsidP="001F4C5C">
      <w:pPr>
        <w:pStyle w:val="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3"/>
        <w:jc w:val="both"/>
        <w:rPr>
          <w:rStyle w:val="BodyText2"/>
          <w:rFonts w:ascii="Times" w:hAnsi="Times"/>
          <w:i w:val="0"/>
          <w:iCs w:val="0"/>
          <w:sz w:val="20"/>
          <w:szCs w:val="20"/>
        </w:rPr>
      </w:pPr>
      <w:r w:rsidRPr="005052CD">
        <w:rPr>
          <w:rStyle w:val="20"/>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w:t>
      </w:r>
      <w:proofErr w:type="gramStart"/>
      <w:r w:rsidRPr="00113F26">
        <w:rPr>
          <w:rFonts w:ascii="Times" w:hAnsi="Times" w:cs="Verdana"/>
          <w:color w:val="000000"/>
        </w:rPr>
        <w:t>side, or</w:t>
      </w:r>
      <w:proofErr w:type="gramEnd"/>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2"/>
        <w:jc w:val="both"/>
      </w:pPr>
      <w:r w:rsidRPr="0013354F">
        <w:t>Sizing of Graphics</w:t>
      </w:r>
      <w:r w:rsidR="008B5537">
        <w:rPr>
          <w:rFonts w:hint="eastAsia"/>
          <w:lang w:eastAsia="zh-CN"/>
        </w:rPr>
        <w:t>（图片尺寸）</w:t>
      </w:r>
    </w:p>
    <w:p w:rsidR="001B36B1"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8B5537" w:rsidRPr="00113F26" w:rsidRDefault="008B5537" w:rsidP="001F4C5C">
      <w:pPr>
        <w:ind w:firstLine="144"/>
        <w:jc w:val="both"/>
        <w:rPr>
          <w:rStyle w:val="BodyText2"/>
          <w:rFonts w:ascii="Times" w:hAnsi="Times"/>
          <w:sz w:val="20"/>
          <w:szCs w:val="20"/>
          <w:lang w:eastAsia="zh-CN"/>
        </w:rPr>
      </w:pPr>
      <w:r>
        <w:rPr>
          <w:rStyle w:val="BodyText2"/>
          <w:rFonts w:ascii="Times" w:hAnsi="Times" w:hint="eastAsia"/>
          <w:sz w:val="20"/>
          <w:szCs w:val="20"/>
          <w:lang w:eastAsia="zh-CN"/>
        </w:rPr>
        <w:t>大多数图表，图形和表格一列宽（</w:t>
      </w:r>
      <w:r>
        <w:rPr>
          <w:rStyle w:val="BodyText2"/>
          <w:rFonts w:ascii="Times" w:hAnsi="Times" w:hint="eastAsia"/>
          <w:sz w:val="20"/>
          <w:szCs w:val="20"/>
          <w:lang w:eastAsia="zh-CN"/>
        </w:rPr>
        <w:t>3.5</w:t>
      </w:r>
      <w:r>
        <w:rPr>
          <w:rStyle w:val="BodyText2"/>
          <w:rFonts w:ascii="Times" w:hAnsi="Times" w:hint="eastAsia"/>
          <w:sz w:val="20"/>
          <w:szCs w:val="20"/>
          <w:lang w:eastAsia="zh-CN"/>
        </w:rPr>
        <w:t>英寸</w:t>
      </w:r>
      <w:r>
        <w:rPr>
          <w:rStyle w:val="BodyText2"/>
          <w:rFonts w:ascii="Times" w:hAnsi="Times" w:hint="eastAsia"/>
          <w:sz w:val="20"/>
          <w:szCs w:val="20"/>
          <w:lang w:eastAsia="zh-CN"/>
        </w:rPr>
        <w:t>/88</w:t>
      </w:r>
      <w:r>
        <w:rPr>
          <w:rStyle w:val="BodyText2"/>
          <w:rFonts w:ascii="Times" w:hAnsi="Times" w:hint="eastAsia"/>
          <w:sz w:val="20"/>
          <w:szCs w:val="20"/>
          <w:lang w:eastAsia="zh-CN"/>
        </w:rPr>
        <w:t>毫米</w:t>
      </w:r>
      <w:r>
        <w:rPr>
          <w:rStyle w:val="BodyText2"/>
          <w:rFonts w:ascii="Times" w:hAnsi="Times" w:hint="eastAsia"/>
          <w:sz w:val="20"/>
          <w:szCs w:val="20"/>
          <w:lang w:eastAsia="zh-CN"/>
        </w:rPr>
        <w:t>/21picas</w:t>
      </w:r>
      <w:r>
        <w:rPr>
          <w:rStyle w:val="BodyText2"/>
          <w:rFonts w:ascii="Times" w:hAnsi="Times" w:hint="eastAsia"/>
          <w:sz w:val="20"/>
          <w:szCs w:val="20"/>
          <w:lang w:eastAsia="zh-CN"/>
        </w:rPr>
        <w:t>）或者页宽（</w:t>
      </w:r>
      <w:r>
        <w:rPr>
          <w:rStyle w:val="BodyText2"/>
          <w:rFonts w:ascii="Times" w:hAnsi="Times" w:hint="eastAsia"/>
          <w:sz w:val="20"/>
          <w:szCs w:val="20"/>
          <w:lang w:eastAsia="zh-CN"/>
        </w:rPr>
        <w:t>7.16</w:t>
      </w:r>
      <w:r>
        <w:rPr>
          <w:rStyle w:val="BodyText2"/>
          <w:rFonts w:ascii="Times" w:hAnsi="Times" w:hint="eastAsia"/>
          <w:sz w:val="20"/>
          <w:szCs w:val="20"/>
          <w:lang w:eastAsia="zh-CN"/>
        </w:rPr>
        <w:t>英寸</w:t>
      </w:r>
      <w:r>
        <w:rPr>
          <w:rStyle w:val="BodyText2"/>
          <w:rFonts w:ascii="Times" w:hAnsi="Times" w:hint="eastAsia"/>
          <w:sz w:val="20"/>
          <w:szCs w:val="20"/>
          <w:lang w:eastAsia="zh-CN"/>
        </w:rPr>
        <w:t>/181</w:t>
      </w:r>
      <w:r>
        <w:rPr>
          <w:rStyle w:val="BodyText2"/>
          <w:rFonts w:ascii="Times" w:hAnsi="Times" w:hint="eastAsia"/>
          <w:sz w:val="20"/>
          <w:szCs w:val="20"/>
          <w:lang w:eastAsia="zh-CN"/>
        </w:rPr>
        <w:t>毫米</w:t>
      </w:r>
      <w:r>
        <w:rPr>
          <w:rStyle w:val="BodyText2"/>
          <w:rFonts w:ascii="Times" w:hAnsi="Times" w:hint="eastAsia"/>
          <w:sz w:val="20"/>
          <w:szCs w:val="20"/>
          <w:lang w:eastAsia="zh-CN"/>
        </w:rPr>
        <w:t>/43picas</w:t>
      </w:r>
      <w:r>
        <w:rPr>
          <w:rStyle w:val="BodyText2"/>
          <w:rFonts w:ascii="Times" w:hAnsi="Times" w:hint="eastAsia"/>
          <w:sz w:val="20"/>
          <w:szCs w:val="20"/>
          <w:lang w:eastAsia="zh-CN"/>
        </w:rPr>
        <w:t>）</w:t>
      </w:r>
      <w:r>
        <w:rPr>
          <w:rStyle w:val="BodyText2"/>
          <w:rFonts w:ascii="Times" w:hAnsi="Times" w:hint="eastAsia"/>
          <w:sz w:val="20"/>
          <w:szCs w:val="20"/>
          <w:lang w:eastAsia="zh-CN"/>
        </w:rPr>
        <w:t>,</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w:t>
      </w:r>
      <w:proofErr w:type="gramStart"/>
      <w:r w:rsidRPr="00113F26">
        <w:rPr>
          <w:rStyle w:val="bodytype"/>
          <w:rFonts w:ascii="Times" w:hAnsi="Times"/>
          <w:sz w:val="20"/>
          <w:szCs w:val="20"/>
        </w:rPr>
        <w:t>has</w:t>
      </w:r>
      <w:proofErr w:type="gramEnd"/>
      <w:r w:rsidRPr="00113F26">
        <w:rPr>
          <w:rStyle w:val="bodytype"/>
          <w:rFonts w:ascii="Times" w:hAnsi="Times"/>
          <w:sz w:val="20"/>
          <w:szCs w:val="20"/>
        </w:rPr>
        <w:t xml:space="preserve">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lastRenderedPageBreak/>
        <w:t xml:space="preserve">The final printed size of author photographs is exactly </w:t>
      </w:r>
      <w:r w:rsidRPr="00113F26">
        <w:rPr>
          <w:rStyle w:val="BodyText2"/>
          <w:rFonts w:ascii="Times" w:hAnsi="Times"/>
          <w:sz w:val="20"/>
          <w:szCs w:val="20"/>
        </w:rPr>
        <w:br/>
      </w:r>
      <w:proofErr w:type="gramStart"/>
      <w:r w:rsidRPr="00113F26">
        <w:rPr>
          <w:rStyle w:val="BodyText2"/>
          <w:rFonts w:ascii="Times" w:hAnsi="Times"/>
          <w:sz w:val="20"/>
          <w:szCs w:val="20"/>
        </w:rPr>
        <w:t>1 inc</w:t>
      </w:r>
      <w:r w:rsidR="000A168B" w:rsidRPr="00113F26">
        <w:rPr>
          <w:rStyle w:val="BodyText2"/>
          <w:rFonts w:ascii="Times" w:hAnsi="Times"/>
          <w:sz w:val="20"/>
          <w:szCs w:val="20"/>
        </w:rPr>
        <w:t>h wide</w:t>
      </w:r>
      <w:proofErr w:type="gramEnd"/>
      <w:r w:rsidR="000A168B" w:rsidRPr="00113F26">
        <w:rPr>
          <w:rStyle w:val="BodyText2"/>
          <w:rFonts w:ascii="Times" w:hAnsi="Times"/>
          <w:sz w:val="20"/>
          <w:szCs w:val="20"/>
        </w:rPr>
        <w:t xml:space="preserv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312C59">
        <w:rPr>
          <w:rStyle w:val="bodytype"/>
          <w:rFonts w:ascii="Times" w:hAnsi="Times"/>
          <w:color w:val="FF0000"/>
          <w:sz w:val="20"/>
          <w:szCs w:val="20"/>
        </w:rPr>
        <w:t>Author photographs, color, and grayscale figures should be at least 300dpi. Line</w:t>
      </w:r>
      <w:r w:rsidR="007530A3" w:rsidRPr="00312C59">
        <w:rPr>
          <w:rStyle w:val="bodytype"/>
          <w:rFonts w:ascii="Times" w:hAnsi="Times"/>
          <w:color w:val="FF0000"/>
          <w:sz w:val="20"/>
          <w:szCs w:val="20"/>
        </w:rPr>
        <w:t xml:space="preserve"> </w:t>
      </w:r>
      <w:r w:rsidRPr="00312C59">
        <w:rPr>
          <w:rStyle w:val="bodytype"/>
          <w:rFonts w:ascii="Times" w:hAnsi="Times"/>
          <w:color w:val="FF0000"/>
          <w:sz w:val="20"/>
          <w:szCs w:val="20"/>
        </w:rPr>
        <w:t>art, including tables should be a minimum of 600dpi</w:t>
      </w:r>
      <w:r w:rsidRPr="00113F26">
        <w:rPr>
          <w:rStyle w:val="bodytype"/>
          <w:rFonts w:ascii="Times" w:hAnsi="Times"/>
          <w:sz w:val="20"/>
          <w:szCs w:val="20"/>
        </w:rPr>
        <w:t>.</w:t>
      </w:r>
    </w:p>
    <w:p w:rsidR="001B36B1" w:rsidRPr="00113F26" w:rsidRDefault="001B36B1" w:rsidP="001F4C5C">
      <w:pPr>
        <w:pStyle w:val="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bookmarkStart w:id="1" w:name="_GoBack"/>
      <w:bookmarkEnd w:id="1"/>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 xml:space="preserve">platforms, we accept files in the following formats: .EPS/.PDF/.PS. All fonts must be </w:t>
      </w:r>
      <w:proofErr w:type="gramStart"/>
      <w:r w:rsidRPr="00113F26">
        <w:rPr>
          <w:rStyle w:val="bodytype"/>
          <w:rFonts w:ascii="Times" w:hAnsi="Times"/>
          <w:sz w:val="20"/>
          <w:szCs w:val="20"/>
        </w:rPr>
        <w:t>embedded</w:t>
      </w:r>
      <w:proofErr w:type="gramEnd"/>
      <w:r w:rsidRPr="00113F26">
        <w:rPr>
          <w:rStyle w:val="bodytype"/>
          <w:rFonts w:ascii="Times" w:hAnsi="Times"/>
          <w:sz w:val="20"/>
          <w:szCs w:val="20"/>
        </w:rPr>
        <w:t xml:space="preserve"> or text converted to outlines in order to achieve the best-quality results.</w:t>
      </w:r>
    </w:p>
    <w:p w:rsidR="001B36B1" w:rsidRPr="0013354F" w:rsidRDefault="001B36B1" w:rsidP="001F4C5C">
      <w:pPr>
        <w:jc w:val="both"/>
      </w:pPr>
    </w:p>
    <w:p w:rsidR="001B36B1" w:rsidRPr="00113F26" w:rsidRDefault="001B36B1" w:rsidP="001F4C5C">
      <w:pPr>
        <w:pStyle w:val="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2"/>
      </w:pPr>
      <w:r w:rsidRPr="00E857A2">
        <w:t>Using Labels Within Figures</w:t>
      </w:r>
    </w:p>
    <w:p w:rsidR="001B36B1" w:rsidRPr="00E857A2" w:rsidRDefault="009F40FB" w:rsidP="001F4C5C">
      <w:pPr>
        <w:pStyle w:val="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w:t>
      </w:r>
      <w:r w:rsidRPr="00E857A2">
        <w:t xml:space="preserve">“Magnetization,”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6pt" o:ole="" fillcolor="window">
            <v:imagedata r:id="rId14" o:title=""/>
          </v:shape>
          <o:OLEObject Type="Embed" ProgID="Equation.3" ShapeID="_x0000_i1025" DrawAspect="Content" ObjectID="_1598091310" r:id="rId15"/>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w:t>
      </w:r>
      <w:proofErr w:type="gramStart"/>
      <w:r w:rsidRPr="00E857A2">
        <w:t>10 point</w:t>
      </w:r>
      <w:proofErr w:type="gramEnd"/>
      <w:r w:rsidRPr="00E857A2">
        <w:t xml:space="preserve"> type.</w:t>
      </w:r>
    </w:p>
    <w:p w:rsidR="001B36B1" w:rsidRPr="00113F26" w:rsidRDefault="001B36B1" w:rsidP="001F4C5C">
      <w:pPr>
        <w:jc w:val="both"/>
        <w:rPr>
          <w:rFonts w:ascii="Times" w:hAnsi="Times" w:cs="Verdana"/>
          <w:color w:val="000000"/>
        </w:rPr>
      </w:pPr>
    </w:p>
    <w:p w:rsidR="001B36B1" w:rsidRPr="00E857A2" w:rsidRDefault="001B36B1" w:rsidP="001F4C5C">
      <w:pPr>
        <w:pStyle w:val="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w:t>
      </w:r>
      <w:proofErr w:type="gramStart"/>
      <w:r w:rsidRPr="00113F26">
        <w:rPr>
          <w:rFonts w:ascii="Times" w:hAnsi="Times" w:cs="Verdana"/>
          <w:color w:val="000000"/>
        </w:rPr>
        <w:t>8 point</w:t>
      </w:r>
      <w:proofErr w:type="gramEnd"/>
      <w:r w:rsidRPr="00113F26">
        <w:rPr>
          <w:rFonts w:ascii="Times" w:hAnsi="Times" w:cs="Verdana"/>
          <w:color w:val="000000"/>
        </w:rPr>
        <w:t xml:space="preserve"> Times New Roman font in the format of (a) (b) (c). </w:t>
      </w:r>
    </w:p>
    <w:p w:rsidR="001B36B1" w:rsidRPr="00E857A2" w:rsidRDefault="001B36B1" w:rsidP="001F4C5C">
      <w:pPr>
        <w:pStyle w:val="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6" w:history="1">
        <w:r w:rsidRPr="00113F26">
          <w:rPr>
            <w:rStyle w:val="aa"/>
            <w:rFonts w:ascii="Times" w:hAnsi="Times"/>
            <w:color w:val="000000"/>
          </w:rPr>
          <w:t>http://graphicsqc.ieee.org/</w:t>
        </w:r>
      </w:hyperlink>
      <w:r w:rsidRPr="00E857A2">
        <w:t xml:space="preserve">, allows authors to upload their </w:t>
      </w:r>
      <w:r w:rsidRPr="00E857A2">
        <w:lastRenderedPageBreak/>
        <w:t xml:space="preserve">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7" w:history="1">
        <w:r w:rsidRPr="00113F26">
          <w:rPr>
            <w:rStyle w:val="aa"/>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proofErr w:type="gramStart"/>
      <w:r w:rsidR="00216141">
        <w:t xml:space="preserve">figures, </w:t>
      </w:r>
      <w:r w:rsidRPr="00E857A2">
        <w:t>or</w:t>
      </w:r>
      <w:proofErr w:type="gramEnd"/>
      <w:r w:rsidRPr="00E857A2">
        <w:t xml:space="preserve">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1"/>
      </w:pPr>
      <w:r>
        <w:t>Conclusion</w:t>
      </w:r>
    </w:p>
    <w:p w:rsidR="00E97402" w:rsidRPr="00CD684F" w:rsidRDefault="00E97402" w:rsidP="00CD684F">
      <w:pPr>
        <w:pStyle w:val="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w:t>
      </w:r>
      <w:r>
        <w:t xml:space="preserve">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8" w:tgtFrame="_blank" w:history="1">
        <w:r w:rsidR="0081663F" w:rsidRPr="003D1EBF">
          <w:rPr>
            <w:rStyle w:val="aa"/>
            <w:color w:val="1155CC"/>
            <w:sz w:val="19"/>
            <w:szCs w:val="19"/>
            <w:shd w:val="clear" w:color="auto" w:fill="FFFFFF"/>
          </w:rPr>
          <w:t>www.ieee.org/authortools</w:t>
        </w:r>
      </w:hyperlink>
      <w:r w:rsidR="00DA258C">
        <w:t>.</w:t>
      </w:r>
    </w:p>
    <w:p w:rsidR="003427CE" w:rsidRDefault="003427CE" w:rsidP="003427CE">
      <w:pPr>
        <w:pStyle w:val="2"/>
      </w:pPr>
      <w:r>
        <w:t>Footnotes</w:t>
      </w:r>
    </w:p>
    <w:p w:rsidR="00C075EF" w:rsidRDefault="00C075EF" w:rsidP="00C075EF">
      <w:pPr>
        <w:pStyle w:val="Text"/>
      </w:pPr>
      <w:r>
        <w:t>Number footnotes separately in superscripts (Insert | Footnote).</w:t>
      </w:r>
      <w:r>
        <w:rPr>
          <w:rStyle w:val="a6"/>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1"/>
      </w:pPr>
      <w:r>
        <w:t>Submitting Your P</w:t>
      </w:r>
      <w:r w:rsidR="009C7D17">
        <w:t>aper for Review</w:t>
      </w:r>
    </w:p>
    <w:p w:rsidR="009C7D17" w:rsidRDefault="00EE6FFC" w:rsidP="009C7D17">
      <w:pPr>
        <w:pStyle w:val="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r>
      <w:proofErr w:type="gramStart"/>
      <w:r>
        <w:t>--First,</w:t>
      </w:r>
      <w:proofErr w:type="gramEnd"/>
      <w:r>
        <w:t xml:space="preserve"> click on the View menu and choose Print Layout.</w:t>
      </w:r>
    </w:p>
    <w:p w:rsidR="009C7D17" w:rsidRDefault="009C7D17" w:rsidP="009C7D17">
      <w:pPr>
        <w:pStyle w:val="Text"/>
      </w:pPr>
      <w:r>
        <w:tab/>
      </w:r>
      <w:proofErr w:type="gramStart"/>
      <w:r>
        <w:t>--Second,</w:t>
      </w:r>
      <w:proofErr w:type="gramEnd"/>
      <w:r>
        <w:t xml:space="preserve"> place your cursor in the first paragraph. Go to </w:t>
      </w:r>
      <w:r>
        <w:lastRenderedPageBreak/>
        <w:t>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rsidR="00C621D6" w:rsidRPr="001C50D7" w:rsidRDefault="00E35C92" w:rsidP="007530A3">
      <w:pPr>
        <w:tabs>
          <w:tab w:val="left" w:pos="360"/>
        </w:tabs>
        <w:autoSpaceDE w:val="0"/>
        <w:autoSpaceDN w:val="0"/>
        <w:adjustRightInd w:val="0"/>
        <w:jc w:val="both"/>
        <w:rPr>
          <w:color w:val="000000"/>
        </w:rPr>
      </w:pPr>
      <w:hyperlink r:id="rId19" w:history="1">
        <w:r w:rsidR="00EE6FFC" w:rsidRPr="00603B0D">
          <w:rPr>
            <w:rStyle w:val="aa"/>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E35C92" w:rsidP="007530A3">
      <w:pPr>
        <w:pStyle w:val="Text"/>
        <w:ind w:firstLine="0"/>
      </w:pPr>
      <w:hyperlink r:id="rId20" w:history="1">
        <w:r w:rsidR="007530A3" w:rsidRPr="007530A3">
          <w:rPr>
            <w:rStyle w:val="aa"/>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1"/>
      </w:pPr>
      <w:r>
        <w:t xml:space="preserve">IEEE </w:t>
      </w:r>
      <w:proofErr w:type="gramStart"/>
      <w:r>
        <w:t xml:space="preserve">Publishing </w:t>
      </w:r>
      <w:r w:rsidR="005D72BB">
        <w:t xml:space="preserve"> Policy</w:t>
      </w:r>
      <w:proofErr w:type="gramEnd"/>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 xml:space="preserve">The IEEE Transactions and Journals Department does not publish conference records or </w:t>
      </w:r>
      <w:proofErr w:type="gramStart"/>
      <w:r w:rsidRPr="00314F82">
        <w:rPr>
          <w:color w:val="222222"/>
          <w:shd w:val="clear" w:color="auto" w:fill="FFFFFF"/>
        </w:rPr>
        <w:t>proceedings, but</w:t>
      </w:r>
      <w:proofErr w:type="gramEnd"/>
      <w:r w:rsidRPr="00314F82">
        <w:rPr>
          <w:color w:val="222222"/>
          <w:shd w:val="clear" w:color="auto" w:fill="FFFFFF"/>
        </w:rPr>
        <w:t xml:space="preserve"> can publish articles related to conferences that have undergone rigorous peer review. Minimally, two reviews are required for every article submitted for peer review.</w:t>
      </w:r>
    </w:p>
    <w:p w:rsidR="005D72BB" w:rsidRDefault="005D72BB" w:rsidP="005D72BB">
      <w:pPr>
        <w:pStyle w:val="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lastRenderedPageBreak/>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lastRenderedPageBreak/>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w:t>
      </w:r>
      <w:r w:rsidRPr="00CD684F">
        <w:rPr>
          <w:rFonts w:ascii="Times-Roman" w:hAnsi="Times-Roman" w:cs="Times-Roman"/>
        </w:rPr>
        <w:t xml:space="preserve">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3"/>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C92" w:rsidRDefault="00E35C92">
      <w:r>
        <w:separator/>
      </w:r>
    </w:p>
  </w:endnote>
  <w:endnote w:type="continuationSeparator" w:id="0">
    <w:p w:rsidR="00E35C92" w:rsidRDefault="00E35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C92" w:rsidRDefault="00E35C92"/>
  </w:footnote>
  <w:footnote w:type="continuationSeparator" w:id="0">
    <w:p w:rsidR="00E35C92" w:rsidRDefault="00E35C92">
      <w:r>
        <w:continuationSeparator/>
      </w:r>
    </w:p>
  </w:footnote>
  <w:footnote w:id="1">
    <w:p w:rsidR="007530A3" w:rsidRDefault="007530A3">
      <w:pPr>
        <w:pStyle w:val="a4"/>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a4"/>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a4"/>
      </w:pPr>
      <w:r>
        <w:t>S. B. Author, Jr., was with Rice University, Houston, TX 77005 USA. He is now with the Department of Physics, Colorado State University, Fort Collins, CO 80523 USA (e-mail: author@lamar.colostate.edu).</w:t>
      </w:r>
    </w:p>
    <w:p w:rsidR="007530A3" w:rsidRDefault="007530A3">
      <w:pPr>
        <w:pStyle w:val="a4"/>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a4"/>
      </w:pPr>
      <w:r>
        <w:rPr>
          <w:rStyle w:val="a6"/>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A1AAD"/>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2C59"/>
    <w:rsid w:val="00314F82"/>
    <w:rsid w:val="003427CE"/>
    <w:rsid w:val="00342BE1"/>
    <w:rsid w:val="003461E8"/>
    <w:rsid w:val="00360269"/>
    <w:rsid w:val="0037551B"/>
    <w:rsid w:val="00381048"/>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0F63"/>
    <w:rsid w:val="00685D0E"/>
    <w:rsid w:val="00693D5D"/>
    <w:rsid w:val="006B7F03"/>
    <w:rsid w:val="006C7307"/>
    <w:rsid w:val="00725B45"/>
    <w:rsid w:val="00735879"/>
    <w:rsid w:val="007530A3"/>
    <w:rsid w:val="0076355A"/>
    <w:rsid w:val="007707AB"/>
    <w:rsid w:val="00771EBF"/>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B5537"/>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5C92"/>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61B503"/>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http://www.ieee.org/authortool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mailto:graphics@ieee.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raphicsqc.ieee.org/" TargetMode="External"/><Relationship Id="rId20" Type="http://schemas.openxmlformats.org/officeDocument/2006/relationships/hyperlink" Target="http://www.ieee.org/publications_standards/publications/right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hyperlink" Target="http://www.ieee.org/authortools" TargetMode="External"/><Relationship Id="rId19" Type="http://schemas.openxmlformats.org/officeDocument/2006/relationships/hyperlink" Target="http://www.ieee.org/publications_standards/publications/authors/authors_submission.html"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2.wmf"/><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DC06A-EF29-4A28-8CE7-00865E91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178</TotalTime>
  <Pages>9</Pages>
  <Words>6284</Words>
  <Characters>35825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42025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li na</cp:lastModifiedBy>
  <cp:revision>3</cp:revision>
  <cp:lastPrinted>2012-08-02T18:53:00Z</cp:lastPrinted>
  <dcterms:created xsi:type="dcterms:W3CDTF">2018-08-23T03:28:00Z</dcterms:created>
  <dcterms:modified xsi:type="dcterms:W3CDTF">2018-09-10T05:28:00Z</dcterms:modified>
</cp:coreProperties>
</file>