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34" w:rsidRDefault="00413D34" w:rsidP="00413D34">
      <w:pPr>
        <w:pStyle w:val="berschrift1"/>
      </w:pPr>
      <w:r w:rsidRPr="006D45A9">
        <w:t>Ion-exchange chromatography protocol for separating lead</w:t>
      </w:r>
      <w:r>
        <w:t xml:space="preserve"> </w:t>
      </w:r>
    </w:p>
    <w:p w:rsidR="00413D34" w:rsidRDefault="00413D34" w:rsidP="00413D34"/>
    <w:p w:rsidR="00413D34" w:rsidRDefault="00413D34" w:rsidP="00413D34">
      <w:r>
        <w:t xml:space="preserve">The protocol is based on the work of </w:t>
      </w:r>
      <w:proofErr w:type="spellStart"/>
      <w:r w:rsidRPr="00F11C3B">
        <w:t>Strelow</w:t>
      </w:r>
      <w:proofErr w:type="spellEnd"/>
      <w:r w:rsidRPr="00F11C3B">
        <w:t xml:space="preserve"> and </w:t>
      </w:r>
      <w:proofErr w:type="spellStart"/>
      <w:r w:rsidRPr="00F11C3B">
        <w:t>Toerien</w:t>
      </w:r>
      <w:proofErr w:type="spellEnd"/>
      <w:r>
        <w:t xml:space="preserve"> 1996. It is a single-step protocol which uses </w:t>
      </w:r>
      <w:r w:rsidRPr="00F11C3B">
        <w:t>anion-exchange column</w:t>
      </w:r>
      <w:r>
        <w:t>s</w:t>
      </w:r>
      <w:r w:rsidRPr="00F11C3B">
        <w:t xml:space="preserve"> </w:t>
      </w:r>
      <w:r>
        <w:t>using the</w:t>
      </w:r>
      <w:r w:rsidRPr="00F11C3B">
        <w:t xml:space="preserve"> AG1</w:t>
      </w:r>
      <w:r>
        <w:noBreakHyphen/>
      </w:r>
      <w:r w:rsidRPr="00F11C3B">
        <w:t>X8 (100–200 mesh) resin</w:t>
      </w:r>
      <w:r>
        <w:t xml:space="preserve">. Pre-cleaned Teflon beakers, double-distilled acids, and ultrapure water (MQ water) are used for the handling of samples throughout the protocol. </w:t>
      </w:r>
    </w:p>
    <w:p w:rsidR="00413D34" w:rsidRDefault="00413D34" w:rsidP="00413D34">
      <w:pPr>
        <w:pStyle w:val="berschrift2"/>
      </w:pPr>
      <w:r>
        <w:t>Reference</w:t>
      </w:r>
    </w:p>
    <w:p w:rsidR="00413D34" w:rsidRDefault="00413D34" w:rsidP="00413D34"/>
    <w:p w:rsidR="00413D34" w:rsidRDefault="00413D34" w:rsidP="00413D34">
      <w:pPr>
        <w:ind w:left="142" w:hanging="142"/>
      </w:pPr>
      <w:proofErr w:type="spellStart"/>
      <w:r>
        <w:t>Strelow</w:t>
      </w:r>
      <w:proofErr w:type="spellEnd"/>
      <w:r>
        <w:t xml:space="preserve">, F. W. E., and </w:t>
      </w:r>
      <w:proofErr w:type="spellStart"/>
      <w:r>
        <w:t>Toerien</w:t>
      </w:r>
      <w:proofErr w:type="spellEnd"/>
      <w:r>
        <w:t>, F. V. S., 1966, Separation of Lead(II), from Bismuth(III), Thallium(III), Cadmium(II), Mercury(II), Gold(III), Platinum(IV), Palladium(II), and Other Elements by Anion Exchange Chromatography, Analytical Chemistry, 38(4), 545–8.</w:t>
      </w:r>
    </w:p>
    <w:p w:rsidR="00413D34" w:rsidRDefault="00413D34" w:rsidP="00413D34">
      <w:r>
        <w:br w:type="page"/>
      </w:r>
    </w:p>
    <w:tbl>
      <w:tblPr>
        <w:tblW w:w="14470" w:type="dxa"/>
        <w:tblInd w:w="5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272"/>
        <w:gridCol w:w="933"/>
        <w:gridCol w:w="933"/>
        <w:gridCol w:w="933"/>
        <w:gridCol w:w="933"/>
        <w:gridCol w:w="933"/>
        <w:gridCol w:w="934"/>
        <w:gridCol w:w="933"/>
        <w:gridCol w:w="933"/>
        <w:gridCol w:w="933"/>
        <w:gridCol w:w="933"/>
        <w:gridCol w:w="933"/>
        <w:gridCol w:w="934"/>
      </w:tblGrid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lastRenderedPageBreak/>
              <w:t xml:space="preserve">Date: 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3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6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7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8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9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12</w:t>
            </w: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Sample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name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Preparation of sample for IEC</w:t>
            </w:r>
          </w:p>
        </w:tc>
      </w:tr>
      <w:tr w:rsidR="00413D34" w:rsidRPr="00413D34" w:rsidTr="007015DE">
        <w:trPr>
          <w:trHeight w:val="525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1 ml 7N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overnight at 90°C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Evaporate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to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dryness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525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</w:t>
            </w: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br/>
              <w:t xml:space="preserve">0.5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for about 1 h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15"/>
        </w:trPr>
        <w:tc>
          <w:tcPr>
            <w:tcW w:w="1447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Preparation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of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columns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Rinse columns with MQ water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Fill columns with resin AG1x8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Washing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Conditioning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HBr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Load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sample</w:t>
            </w: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Add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prepared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sample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solution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Eluate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Cu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+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matrix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Change beakers if to be kept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3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times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1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HBr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Collect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Pb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Change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beakers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4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times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14470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Drive off Br</w:t>
            </w:r>
            <w:r w:rsidRPr="00413D34">
              <w:rPr>
                <w:rFonts w:eastAsia="Times New Roman"/>
                <w:color w:val="000000"/>
                <w:szCs w:val="20"/>
                <w:vertAlign w:val="subscript"/>
                <w:lang w:val="de-DE" w:eastAsia="de-DE"/>
              </w:rPr>
              <w:t>2</w:t>
            </w: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&amp;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organics</w:t>
            </w:r>
            <w:proofErr w:type="spellEnd"/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Evaporate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collected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fractions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Dissolve in 1 ml 6N HNO</w:t>
            </w:r>
            <w:r w:rsidRPr="00413D34">
              <w:rPr>
                <w:rFonts w:eastAsia="Times New Roman"/>
                <w:color w:val="000000"/>
                <w:szCs w:val="20"/>
                <w:vertAlign w:val="subscript"/>
                <w:lang w:eastAsia="de-DE"/>
              </w:rPr>
              <w:t>3</w:t>
            </w: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at 90°C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413D34" w:rsidRPr="00413D34" w:rsidTr="007015DE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413D34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Evaporate to dryness at 90°C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D34" w:rsidRPr="00413D34" w:rsidRDefault="00413D34" w:rsidP="007015DE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</w:tbl>
    <w:p w:rsidR="00413D34" w:rsidRDefault="00413D34" w:rsidP="00413D34"/>
    <w:sectPr w:rsidR="00413D34" w:rsidSect="00844128">
      <w:headerReference w:type="first" r:id="rId6"/>
      <w:footerReference w:type="first" r:id="rId7"/>
      <w:pgSz w:w="16838" w:h="11906" w:orient="landscape"/>
      <w:pgMar w:top="709" w:right="1417" w:bottom="426" w:left="1134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AF7C7" w15:done="0"/>
  <w15:commentEx w15:paraId="4CD07358" w15:done="0"/>
  <w15:commentEx w15:paraId="7D1B8168" w15:paraIdParent="4CD07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ACDE2" w16cex:dateUtc="2023-09-12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AF7C7" w16cid:durableId="28AACB28"/>
  <w16cid:commentId w16cid:paraId="4CD07358" w16cid:durableId="28AACB29"/>
  <w16cid:commentId w16cid:paraId="7D1B8168" w16cid:durableId="28AACDE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2F4" w:rsidRDefault="005462F4" w:rsidP="0093294D">
      <w:r>
        <w:separator/>
      </w:r>
    </w:p>
  </w:endnote>
  <w:endnote w:type="continuationSeparator" w:id="0">
    <w:p w:rsidR="005462F4" w:rsidRDefault="005462F4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128" w:rsidRPr="00985D43" w:rsidRDefault="00844128" w:rsidP="00844128">
    <w:pPr>
      <w:pStyle w:val="Kopfzeile"/>
      <w:rPr>
        <w:noProof/>
        <w:sz w:val="16"/>
        <w:lang w:eastAsia="de-DE"/>
      </w:rPr>
    </w:pPr>
    <w:r>
      <w:rPr>
        <w:noProof/>
        <w:sz w:val="16"/>
        <w:lang w:val="de-DE"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8345727</wp:posOffset>
          </wp:positionH>
          <wp:positionV relativeFrom="paragraph">
            <wp:posOffset>109717</wp:posOffset>
          </wp:positionV>
          <wp:extent cx="707821" cy="247650"/>
          <wp:effectExtent l="19050" t="0" r="0" b="0"/>
          <wp:wrapNone/>
          <wp:docPr id="6" name="Bild 4" descr="cc-b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7821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44128" w:rsidRPr="00985D43" w:rsidRDefault="00844128" w:rsidP="00844128">
    <w:pPr>
      <w:pStyle w:val="Kopfzeile"/>
      <w:tabs>
        <w:tab w:val="clear" w:pos="4536"/>
        <w:tab w:val="clear" w:pos="9072"/>
        <w:tab w:val="right" w:pos="13041"/>
      </w:tabs>
      <w:rPr>
        <w:noProof/>
        <w:color w:val="6E0D5F"/>
        <w:sz w:val="16"/>
        <w:lang w:eastAsia="de-DE"/>
      </w:rPr>
    </w:pPr>
    <w:r>
      <w:rPr>
        <w:noProof/>
        <w:color w:val="6E0D5F"/>
        <w:sz w:val="16"/>
        <w:lang w:eastAsia="de-DE"/>
      </w:rPr>
      <w:t xml:space="preserve">Created by </w:t>
    </w:r>
    <w:r w:rsidR="0074618F">
      <w:rPr>
        <w:noProof/>
        <w:color w:val="6E0D5F"/>
        <w:sz w:val="16"/>
        <w:lang w:eastAsia="de-DE"/>
      </w:rPr>
      <w:t>Sabine Klein, Thomas Rose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844128" w:rsidRPr="00844128" w:rsidRDefault="00844128" w:rsidP="00844128">
    <w:pPr>
      <w:pStyle w:val="Kopfzeile"/>
      <w:tabs>
        <w:tab w:val="clear" w:pos="4536"/>
        <w:tab w:val="clear" w:pos="9072"/>
        <w:tab w:val="right" w:pos="13041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E37CD9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E37CD9" w:rsidRPr="00985D43">
      <w:rPr>
        <w:noProof/>
        <w:color w:val="6E0D5F"/>
        <w:sz w:val="16"/>
        <w:lang w:eastAsia="de-DE"/>
      </w:rPr>
      <w:fldChar w:fldCharType="separate"/>
    </w:r>
    <w:r w:rsidR="00A910B7">
      <w:rPr>
        <w:noProof/>
        <w:color w:val="6E0D5F"/>
        <w:sz w:val="16"/>
        <w:lang w:eastAsia="de-DE"/>
      </w:rPr>
      <w:t>10 March 2024</w:t>
    </w:r>
    <w:r w:rsidR="00E37CD9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3" w:history="1">
      <w:r w:rsidRPr="00985D43">
        <w:rPr>
          <w:noProof/>
          <w:color w:val="F29400"/>
          <w:sz w:val="16"/>
          <w:lang w:eastAsia="de-DE"/>
        </w:rPr>
        <w:t>Creative Commons Attribution</w:t>
      </w:r>
      <w:r w:rsidR="00A910B7">
        <w:rPr>
          <w:noProof/>
          <w:color w:val="F29400"/>
          <w:sz w:val="16"/>
          <w:lang w:eastAsia="de-DE"/>
        </w:rPr>
        <w:t>-ShareAlike</w:t>
      </w:r>
      <w:r w:rsidRPr="00985D43">
        <w:rPr>
          <w:noProof/>
          <w:color w:val="F29400"/>
          <w:sz w:val="16"/>
          <w:lang w:eastAsia="de-DE"/>
        </w:rPr>
        <w:t xml:space="preserve">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2F4" w:rsidRDefault="005462F4" w:rsidP="0093294D">
      <w:r>
        <w:separator/>
      </w:r>
    </w:p>
  </w:footnote>
  <w:footnote w:type="continuationSeparator" w:id="0">
    <w:p w:rsidR="005462F4" w:rsidRDefault="005462F4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128" w:rsidRPr="00985D43" w:rsidRDefault="00844128" w:rsidP="00844128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5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844128" w:rsidRPr="00985D43" w:rsidRDefault="00E37CD9" w:rsidP="00844128">
    <w:pPr>
      <w:pStyle w:val="Kopfzeile"/>
      <w:ind w:left="851"/>
      <w:rPr>
        <w:sz w:val="16"/>
        <w:szCs w:val="16"/>
      </w:rPr>
    </w:pPr>
    <w:r w:rsidRPr="00E37CD9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844128" w:rsidRPr="00081375" w:rsidRDefault="00844128" w:rsidP="00844128">
    <w:pPr>
      <w:pStyle w:val="Kopfzeile"/>
      <w:spacing w:before="40"/>
      <w:ind w:left="851"/>
      <w:rPr>
        <w:color w:val="6E0D5F"/>
        <w:sz w:val="16"/>
        <w:szCs w:val="16"/>
      </w:rPr>
    </w:pPr>
    <w:bookmarkStart w:id="0" w:name="OLE_LINK5"/>
    <w:bookmarkStart w:id="1" w:name="OLE_LINK6"/>
    <w:bookmarkStart w:id="2" w:name="_Hlk146462136"/>
    <w:r>
      <w:rPr>
        <w:color w:val="6E0D5F"/>
        <w:sz w:val="16"/>
        <w:szCs w:val="16"/>
      </w:rPr>
      <w:t>Ion-exchange chromatography protocol for separating lead</w:t>
    </w:r>
    <w:r w:rsidR="004B0AFC" w:rsidRPr="004B0AFC">
      <w:t xml:space="preserve"> </w:t>
    </w:r>
    <w:bookmarkEnd w:id="0"/>
    <w:bookmarkEnd w:id="1"/>
    <w:bookmarkEnd w:id="2"/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 Westner">
    <w15:presenceInfo w15:providerId="Windows Live" w15:userId="b26c3533a2ea447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05B6"/>
    <w:rsid w:val="00006D08"/>
    <w:rsid w:val="00025990"/>
    <w:rsid w:val="00051DAC"/>
    <w:rsid w:val="000530AB"/>
    <w:rsid w:val="00076285"/>
    <w:rsid w:val="00081375"/>
    <w:rsid w:val="00116654"/>
    <w:rsid w:val="001F0D74"/>
    <w:rsid w:val="00286E87"/>
    <w:rsid w:val="00287633"/>
    <w:rsid w:val="002E2360"/>
    <w:rsid w:val="00314080"/>
    <w:rsid w:val="0035645C"/>
    <w:rsid w:val="003921CA"/>
    <w:rsid w:val="003B047A"/>
    <w:rsid w:val="003C5232"/>
    <w:rsid w:val="00413D34"/>
    <w:rsid w:val="004141DB"/>
    <w:rsid w:val="004264AE"/>
    <w:rsid w:val="00450C32"/>
    <w:rsid w:val="00461F34"/>
    <w:rsid w:val="00473113"/>
    <w:rsid w:val="0048599D"/>
    <w:rsid w:val="004B0AFC"/>
    <w:rsid w:val="00516D0D"/>
    <w:rsid w:val="00541B99"/>
    <w:rsid w:val="005462F4"/>
    <w:rsid w:val="005D16FE"/>
    <w:rsid w:val="006144DB"/>
    <w:rsid w:val="006220CB"/>
    <w:rsid w:val="006B4D65"/>
    <w:rsid w:val="006D45A9"/>
    <w:rsid w:val="006F7C6A"/>
    <w:rsid w:val="007015DE"/>
    <w:rsid w:val="0074618F"/>
    <w:rsid w:val="007D51AB"/>
    <w:rsid w:val="00844128"/>
    <w:rsid w:val="008926D2"/>
    <w:rsid w:val="0093294D"/>
    <w:rsid w:val="00933519"/>
    <w:rsid w:val="00985D43"/>
    <w:rsid w:val="00986779"/>
    <w:rsid w:val="009C0243"/>
    <w:rsid w:val="00A12C48"/>
    <w:rsid w:val="00A910B7"/>
    <w:rsid w:val="00A91B7C"/>
    <w:rsid w:val="00A9611D"/>
    <w:rsid w:val="00AD76B5"/>
    <w:rsid w:val="00B2502A"/>
    <w:rsid w:val="00BA3A2B"/>
    <w:rsid w:val="00C4764B"/>
    <w:rsid w:val="00C52328"/>
    <w:rsid w:val="00CA58EC"/>
    <w:rsid w:val="00CD13BF"/>
    <w:rsid w:val="00D1332E"/>
    <w:rsid w:val="00DD06FF"/>
    <w:rsid w:val="00DD45B8"/>
    <w:rsid w:val="00E37CD9"/>
    <w:rsid w:val="00E55CE0"/>
    <w:rsid w:val="00F11C3B"/>
    <w:rsid w:val="00F65D14"/>
    <w:rsid w:val="00F83B4D"/>
    <w:rsid w:val="00FA184B"/>
    <w:rsid w:val="00FA66DF"/>
    <w:rsid w:val="00FC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table" w:styleId="Tabellengitternetz">
    <w:name w:val="Table Grid"/>
    <w:basedOn w:val="NormaleTabelle"/>
    <w:uiPriority w:val="59"/>
    <w:rsid w:val="006D4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D45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D45A9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D45A9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5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5A9"/>
    <w:rPr>
      <w:rFonts w:ascii="Liberation Sans" w:hAnsi="Liberation Sans" w:cs="Liberation Sans"/>
      <w:b/>
      <w:bCs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2E2360"/>
    <w:rPr>
      <w:rFonts w:ascii="Liberation Sans" w:hAnsi="Liberation Sans" w:cs="Liberation Sans"/>
      <w:sz w:val="20"/>
      <w:lang w:val="en-GB"/>
    </w:rPr>
  </w:style>
  <w:style w:type="paragraph" w:styleId="Literaturverzeichnis">
    <w:name w:val="Bibliography"/>
    <w:basedOn w:val="Standard"/>
    <w:next w:val="Standard"/>
    <w:uiPriority w:val="37"/>
    <w:unhideWhenUsed/>
    <w:rsid w:val="00461F34"/>
    <w:pPr>
      <w:spacing w:after="240"/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Ion-exchange chromatography protocol for separating lead according to Milot et al. 2021</vt:lpstr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Ion-exchange chromatography protocol for separating lead</dc:title>
  <dc:creator>Sabine Klein, Thomas Rose</dc:creator>
  <cp:keywords>lead isotopes, geochemistry, ion exchange chromatography</cp:keywords>
  <dc:description>Print template for an ion exchange protocol for separating lead in landscape format</dc:description>
  <cp:lastModifiedBy>Thomas Rose</cp:lastModifiedBy>
  <cp:revision>13</cp:revision>
  <dcterms:created xsi:type="dcterms:W3CDTF">2023-09-13T07:00:00Z</dcterms:created>
  <dcterms:modified xsi:type="dcterms:W3CDTF">2024-03-10T10:49:00Z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id="pw4fBZuC"/&gt;&lt;style id="http://www.zotero.org/styles/archaeometry" hasBibliography="1" bibliographyStyleHasBeenSet="1"/&gt;&lt;prefs&gt;&lt;pref name="fieldType" value="Field"/&gt;&lt;/prefs&gt;&lt;/data&gt;</vt:lpwstr>
  </property>
</Properties>
</file>