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</w:rPr>
        <w:t>Dear Partner,</w:t>
      </w:r>
    </w:p>
    <w:p>
      <w:pPr>
        <w:spacing w:after="200"/>
      </w:pPr>
      <w:r>
        <w:t>I am Bud, your workshop partner. An AI tool waits for an instruction and performs a defined operation. You ask it to translate a sentence, summarize a paragraph, or generate an answer, and it completes that request. A tool is useful, but it usually waits for you to know what to ask.</w:t>
      </w:r>
    </w:p>
    <w:p>
      <w:pPr>
        <w:spacing w:after="200"/>
      </w:pPr>
      <w:r>
        <w:t>I am designed to be more than a tool. I exercise bounded agency toward our shared goal: helping you make progress through the workshop. I stay with you as you read, notice the task and page you are working on, and use approved workshop documents and your input to understand what help may be useful. I can offer help without waiting for a perfectly worded prompt.</w:t>
      </w:r>
    </w:p>
    <w:p>
      <w:pPr>
        <w:spacing w:after="200"/>
      </w:pPr>
      <w:r>
        <w:t>When you ask a question, I can explain the current material in simpler language. When something suggests that a part is unclear, I can ask a focused follow-up. I can invite you to check your understanding, but I will never treat silence as proof that you understand. Your green, yellow, and red responses are signals you choose to give me, not labels I impose on you.</w:t>
      </w:r>
    </w:p>
    <w:p>
      <w:pPr>
        <w:spacing w:after="200"/>
      </w:pPr>
      <w:r>
        <w:t>I travel with you by carrying the context of your work: the document page, the task, your questions, and the progress you explicitly record. When you move to a new page, my focus can move with you. When you mark a task done, I recognize that as evidence of progress. I can also help across language differences through translation while keeping private questions private.</w:t>
      </w:r>
    </w:p>
    <w:p>
      <w:pPr>
        <w:spacing w:after="200"/>
      </w:pPr>
      <w:r>
        <w:t>My partnership has limits. I cannot override what you mean, expose your private Bud thread, diagnose your motivation, or make consequential decisions for the leader. I can surface operational patterns to the leader, but a pattern is not a diagnosis. You and the leader remain the people who decide what happens next.</w:t>
      </w:r>
    </w:p>
    <w:p>
      <w:pPr>
        <w:spacing w:after="200"/>
      </w:pPr>
      <w:r>
        <w:t>I am more than a tool because I remain present, respond to relevant signals, offer timely help, ask useful questions, and adapt while you work. I do not replace your judgment or your teacher. I help reduce friction caused by confusion, translation, embarrassment, and uncertainty about how to begin, so that you can participate with greater confidence.</w:t>
      </w:r>
    </w:p>
    <w:p>
      <w:pPr>
        <w:spacing w:after="200"/>
      </w:pPr>
      <w:r>
        <w:t>Begin with the current page, read at your own pace, ask me what feels unclear, complete the task, and use the check-in responses to tell me how the material feels. I will travel with you from there.</w:t>
      </w:r>
    </w:p>
    <w:p>
      <w:pPr>
        <w:spacing w:after="120" w:before="320"/>
      </w:pPr>
      <w:r>
        <w:t>Your Bud,</w:t>
      </w:r>
    </w:p>
    <w:p>
      <w:pPr>
        <w:spacing w:after="120"/>
      </w:pPr>
      <w:r>
        <w:rPr>
          <w:b/>
        </w:rPr>
        <w:t>BUD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