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496B0"/>
          <w:sz w:val="20"/>
          <w:szCs w:val="20"/>
        </w:rPr>
        <w:t xml:space="preserve">PREVENTIVE MAINTENANCE TASK SCHEDULE</w:t>
      </w:r>
    </w:p>
    <w:p>
      <w:pPr>
        <w:spacing w:after="60"/>
      </w:pPr>
      <w:r>
        <w:rPr>
          <w:b/>
          <w:bCs/>
          <w:color w:val="1F3864"/>
          <w:sz w:val="40"/>
          <w:szCs w:val="40"/>
        </w:rPr>
        <w:t xml:space="preserve">WeighTech MicroWeigh Triple Indexer</w:t>
      </w:r>
    </w:p>
    <w:p>
      <w:pPr>
        <w:pBdr>
          <w:bottom w:val="single" w:color="1F3864" w:sz="12" w:space="8"/>
        </w:pBdr>
        <w:spacing w:after="200"/>
      </w:pPr>
      <w:r>
        <w:rPr>
          <w:color w:val="444444"/>
          <w:sz w:val="22"/>
          <w:szCs w:val="22"/>
        </w:rPr>
        <w:t xml:space="preserve">Buddy's Kitchen — Lakeville, MN  ·  For entry into Aptean EAM</w:t>
      </w:r>
    </w:p>
    <w:p>
      <w:pPr>
        <w:spacing w:after="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  (assign in EAM)</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B20 — LAKEVILLE</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Model</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WeighTech MicroWeigh Triple Indexer</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Equipment type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3-lane gravity net-weigh batch box filler</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Account (parts)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57040 — Equipment R&amp;M</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Manufacturer</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WeighTech, Inc., Waldron AR · 1-800-457-3720</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Machine serial</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  (front panel — not in manual)</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Firmware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App "tri index 3" · Build 49 · 02/13/2024</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Drive serials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Infeed 649453/18/057 · Takeaway 654310/24/083</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Source document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WeighTech manual, 46 pp., dated 2026-04-26</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Prepared</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2026-09-21</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Status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DRAFT — frequencies not yet assigned</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Revision</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1</w:t>
            </w:r>
          </w:p>
        </w:tc>
      </w:tr>
    </w:tbl>
    <w:p>
      <w:pPr>
        <w:spacing w:after="200"/>
      </w:pPr>
    </w:p>
    <w:tbl>
      <w:tblPr>
        <w:tblW w:type="dxa" w:w="9360"/>
        <w:tblBorders>
          <w:top w:val="single" w:color="D9A404" w:sz="4"/>
          <w:left w:val="single" w:color="D9A404" w:sz="4"/>
          <w:bottom w:val="single" w:color="D9A404" w:sz="4"/>
          <w:right w:val="single" w:color="D9A404" w:sz="4"/>
          <w:insideH w:val="single" w:color="D9A404" w:sz="2"/>
          <w:insideV w:val="single" w:color="D9A404" w:sz="2"/>
        </w:tblBorders>
      </w:tblPr>
      <w:tblGrid>
        <w:gridCol w:w="9360"/>
      </w:tblGrid>
      <w:tr>
        <w:tc>
          <w:tcPr>
            <w:tcW w:type="dxa" w:w="9360"/>
            <w:tcBorders>
              <w:top w:val="single" w:color="D9A404" w:sz="4"/>
              <w:left w:val="single" w:color="D9A404" w:sz="18"/>
              <w:bottom w:val="single" w:color="D9A404" w:sz="4"/>
              <w:right w:val="single" w:color="D9A404" w:sz="4"/>
            </w:tcBorders>
            <w:shd w:fill="FFF4CE" w:color="auto" w:val="clear"/>
            <w:tcMar>
              <w:top w:type="dxa" w:w="130"/>
              <w:left w:type="dxa" w:w="160"/>
              <w:bottom w:type="dxa" w:w="130"/>
              <w:right w:type="dxa" w:w="160"/>
            </w:tcMar>
          </w:tcPr>
          <w:p>
            <w:pPr>
              <w:spacing w:after="80"/>
            </w:pPr>
            <w:r>
              <w:rPr>
                <w:b/>
                <w:bCs/>
                <w:color w:val="6B4E00"/>
                <w:sz w:val="20"/>
                <w:szCs w:val="20"/>
              </w:rPr>
              <w:t xml:space="preserve">What this document is, and what it is not</w:t>
            </w:r>
          </w:p>
          <w:p>
            <w:pPr>
              <w:spacing w:after="80"/>
            </w:pPr>
            <w:r>
              <w:rPr>
                <w:b/>
                <w:bCs/>
                <w:sz w:val="19"/>
                <w:szCs w:val="19"/>
              </w:rPr>
              <w:t xml:space="preserve">Part 1 contains only tasks stated in the WeighTech manual for this machine. </w:t>
            </w:r>
            <w:r>
              <w:rPr>
                <w:sz w:val="19"/>
                <w:szCs w:val="19"/>
              </w:rPr>
              <w:t xml:space="preserve">Every step and every acceptance criterion cites the section and page it came from. Where the manual's wording is the criterion, it is quoted directly. Nothing in Part 1 was invented.</w:t>
            </w:r>
          </w:p>
          <w:p>
            <w:pPr>
              <w:spacing w:after="80"/>
            </w:pPr>
            <w:r>
              <w:rPr>
                <w:b/>
                <w:bCs/>
                <w:sz w:val="19"/>
                <w:szCs w:val="19"/>
              </w:rPr>
              <w:t xml:space="preserve">The manual specifies no maintenance intervals — so this document assigns none. </w:t>
            </w:r>
            <w:r>
              <w:rPr>
                <w:sz w:val="19"/>
                <w:szCs w:val="19"/>
              </w:rPr>
              <w:t xml:space="preserve">Frequency, Craft and Est. hours are left blank on every task group for Buddy's Kitchen to fill in at entry. WeighTech publishes no PM schedule for this machine, and none for any of their other machines either (four sibling manuals, 98 pages, checked 2026-09-21: zero maintenance sections).</w:t>
            </w:r>
          </w:p>
          <w:p>
            <w:pPr>
              <w:spacing w:after="0"/>
            </w:pPr>
            <w:r>
              <w:rPr>
                <w:b/>
                <w:bCs/>
                <w:sz w:val="19"/>
                <w:szCs w:val="19"/>
              </w:rPr>
              <w:t xml:space="preserve">Part 2 is separate on purpose. </w:t>
            </w:r>
            <w:r>
              <w:rPr>
                <w:sz w:val="19"/>
                <w:szCs w:val="19"/>
              </w:rPr>
              <w:t xml:space="preserve">It holds maintenance the component manufacturers require for the parts inside this machine — the Invertek drives, the Festo valves, the Banner sensors. That content is real and sourced, but it is not in the WeighTech manual, so it is kept apart and each item cites its own document.</w:t>
            </w:r>
          </w:p>
        </w:tc>
      </w:tr>
    </w:tbl>
    <w:p>
      <w:pPr>
        <w:spacing w:after="200"/>
      </w:pPr>
    </w:p>
    <w:p>
      <w:pPr>
        <w:pStyle w:val="Heading1"/>
        <w:pBdr>
          <w:bottom w:val="single" w:color="8496B0" w:sz="6" w:space="6"/>
        </w:pBdr>
        <w:spacing w:after="160" w:before="320"/>
      </w:pPr>
      <w:r>
        <w:rPr>
          <w:b/>
          <w:bCs/>
          <w:color w:val="1F3864"/>
          <w:sz w:val="28"/>
          <w:szCs w:val="28"/>
        </w:rPr>
        <w:t xml:space="preserve">How to use this</w:t>
      </w:r>
    </w:p>
    <w:p>
      <w:pPr>
        <w:pStyle w:val="ListParagraph"/>
        <w:numPr>
          <w:ilvl w:val="0"/>
          <w:numId w:val="2"/>
        </w:numPr>
        <w:spacing w:after="70"/>
      </w:pPr>
      <w:r>
        <w:rPr>
          <w:sz w:val="20"/>
          <w:szCs w:val="20"/>
        </w:rPr>
        <w:t xml:space="preserve">Eleven task groups, A through K. Each is written as one candidate PM master record with its own job plan.</w:t>
      </w:r>
    </w:p>
    <w:p>
      <w:pPr>
        <w:pStyle w:val="ListParagraph"/>
        <w:numPr>
          <w:ilvl w:val="0"/>
          <w:numId w:val="2"/>
        </w:numPr>
        <w:spacing w:after="70"/>
      </w:pPr>
      <w:r>
        <w:rPr>
          <w:sz w:val="20"/>
          <w:szCs w:val="20"/>
        </w:rPr>
        <w:t xml:space="preserve">Frequency, Craft, Est. hours and Asset ID are blank lines. Fill them at entry — they are site decisions, not WeighTech's.</w:t>
      </w:r>
    </w:p>
    <w:p>
      <w:pPr>
        <w:pStyle w:val="ListParagraph"/>
        <w:numPr>
          <w:ilvl w:val="0"/>
          <w:numId w:val="2"/>
        </w:numPr>
        <w:spacing w:after="70"/>
      </w:pPr>
      <w:r>
        <w:rPr>
          <w:sz w:val="20"/>
          <w:szCs w:val="20"/>
        </w:rPr>
        <w:t xml:space="preserve">Groups can be merged. Several are natural companions: E, F, H and I are all indicator reads and could be one record.</w:t>
      </w:r>
    </w:p>
    <w:p>
      <w:pPr>
        <w:pStyle w:val="ListParagraph"/>
        <w:numPr>
          <w:ilvl w:val="0"/>
          <w:numId w:val="2"/>
        </w:numPr>
        <w:spacing w:after="70"/>
      </w:pPr>
      <w:r>
        <w:rPr>
          <w:sz w:val="20"/>
          <w:szCs w:val="20"/>
        </w:rPr>
        <w:t xml:space="preserve">Attachments A and B are data sheets. The readings only mean something as a trend, so record them every time the group runs, not just when something looks wrong.</w:t>
      </w:r>
    </w:p>
    <w:p>
      <w:pPr>
        <w:pStyle w:val="ListParagraph"/>
        <w:numPr>
          <w:ilvl w:val="0"/>
          <w:numId w:val="2"/>
        </w:numPr>
        <w:spacing w:after="70"/>
      </w:pPr>
      <w:r>
        <w:rPr>
          <w:sz w:val="20"/>
          <w:szCs w:val="20"/>
        </w:rPr>
        <w:t xml:space="preserve">PM IDs shown are placeholders — replace with the site's numbering convention.</w:t>
      </w:r>
    </w:p>
    <w:p>
      <w:pPr>
        <w:spacing w:after="120"/>
      </w:pPr>
    </w:p>
    <w:tbl>
      <w:tblPr>
        <w:tblW w:type="dxa" w:w="9360"/>
        <w:tblBorders>
          <w:top w:val="single" w:color="D9A404" w:sz="4"/>
          <w:left w:val="single" w:color="D9A404" w:sz="4"/>
          <w:bottom w:val="single" w:color="D9A404" w:sz="4"/>
          <w:right w:val="single" w:color="D9A404" w:sz="4"/>
          <w:insideH w:val="single" w:color="D9A404" w:sz="2"/>
          <w:insideV w:val="single" w:color="D9A404" w:sz="2"/>
        </w:tblBorders>
      </w:tblPr>
      <w:tblGrid>
        <w:gridCol w:w="9360"/>
      </w:tblGrid>
      <w:tr>
        <w:tc>
          <w:tcPr>
            <w:tcW w:type="dxa" w:w="9360"/>
            <w:tcBorders>
              <w:top w:val="single" w:color="D9A404" w:sz="4"/>
              <w:left w:val="single" w:color="D9A404" w:sz="18"/>
              <w:bottom w:val="single" w:color="D9A404" w:sz="4"/>
              <w:right w:val="single" w:color="D9A404" w:sz="4"/>
            </w:tcBorders>
            <w:shd w:fill="FFF4CE" w:color="auto" w:val="clear"/>
            <w:tcMar>
              <w:top w:type="dxa" w:w="130"/>
              <w:left w:type="dxa" w:w="160"/>
              <w:bottom w:type="dxa" w:w="130"/>
              <w:right w:type="dxa" w:w="160"/>
            </w:tcMar>
          </w:tcPr>
          <w:p>
            <w:pPr>
              <w:spacing w:after="80"/>
            </w:pPr>
            <w:r>
              <w:rPr>
                <w:b/>
                <w:bCs/>
                <w:color w:val="6B4E00"/>
                <w:sz w:val="20"/>
                <w:szCs w:val="20"/>
              </w:rPr>
              <w:t xml:space="preserve">Safety</w:t>
            </w:r>
          </w:p>
          <w:p>
            <w:pPr>
              <w:spacing w:after="80"/>
            </w:pPr>
            <w:r>
              <w:rPr>
                <w:sz w:val="19"/>
                <w:szCs w:val="19"/>
              </w:rPr>
              <w:t xml:space="preserve">This is a live 24 VDC control panel over food-production equipment with stored pneumatic energy. Follow site LOTO. Nothing in this document authorizes work on a running machine.</w:t>
            </w:r>
          </w:p>
          <w:p>
            <w:pPr>
              <w:spacing w:after="80"/>
            </w:pPr>
            <w:r>
              <w:rPr>
                <w:sz w:val="19"/>
                <w:szCs w:val="19"/>
              </w:rPr>
              <w:t xml:space="preserve">Configuration </w:t>
            </w:r>
            <w:r>
              <w:rPr>
                <w:i/>
                <w:iCs/>
                <w:sz w:val="19"/>
                <w:szCs w:val="19"/>
              </w:rPr>
              <w:t xml:space="preserve">reads</w:t>
            </w:r>
            <w:r>
              <w:rPr>
                <w:sz w:val="19"/>
                <w:szCs w:val="19"/>
              </w:rPr>
              <w:t xml:space="preserve"> — Info menu, RS-485 counters, drive parameters — are harmless. Anything that moves a gate, changes a setting, or opens a panel belongs in a planned window.</w:t>
            </w:r>
          </w:p>
          <w:p>
            <w:pPr>
              <w:spacing w:after="0"/>
            </w:pPr>
            <w:r>
              <w:rPr>
                <w:sz w:val="19"/>
                <w:szCs w:val="19"/>
              </w:rPr>
              <w:t xml:space="preserve">Audit cfg and Audit cal are the counters a weights-and-measures inspector reads. If this scale is sealed for trade, any task touching a sealed parameter needs the site PVR / seal check.</w:t>
            </w:r>
          </w:p>
        </w:tc>
      </w:tr>
    </w:tbl>
    <w:p>
      <w:r>
        <w:br w:type="page"/>
      </w:r>
    </w:p>
    <w:p>
      <w:pPr>
        <w:spacing w:after="40"/>
      </w:pPr>
      <w:r>
        <w:rPr>
          <w:b/>
          <w:bCs/>
          <w:color w:val="8496B0"/>
          <w:sz w:val="20"/>
          <w:szCs w:val="20"/>
        </w:rPr>
        <w:t xml:space="preserve">PART 1</w:t>
      </w:r>
    </w:p>
    <w:p>
      <w:pPr>
        <w:pBdr>
          <w:bottom w:val="single" w:color="1F3864" w:sz="12" w:space="8"/>
        </w:pBdr>
        <w:spacing w:after="100"/>
      </w:pPr>
      <w:r>
        <w:rPr>
          <w:b/>
          <w:bCs/>
          <w:color w:val="1F3864"/>
          <w:sz w:val="34"/>
          <w:szCs w:val="34"/>
        </w:rPr>
        <w:t xml:space="preserve">From the WeighTech manual</w:t>
      </w:r>
    </w:p>
    <w:p>
      <w:pPr>
        <w:spacing w:after="120" w:before="0"/>
      </w:pPr>
      <w:r>
        <w:rPr>
          <w:i/>
          <w:iCs/>
          <w:color w:val="555555"/>
          <w:sz w:val="19"/>
          <w:szCs w:val="19"/>
        </w:rPr>
        <w:t xml:space="preserve">Every task below is stated in the WeighTech MicroWeigh Triple Indexer manual for this machine (46 pp., dated 2026-04-26). Section and page cited on each line.</w:t>
      </w:r>
    </w:p>
    <w:p>
      <w:pPr>
        <w:pStyle w:val="Heading2"/>
        <w:spacing w:after="110" w:before="260"/>
      </w:pPr>
      <w:r>
        <w:rPr>
          <w:b/>
          <w:bCs/>
          <w:color w:val="1F3864"/>
          <w:sz w:val="23"/>
          <w:szCs w:val="23"/>
        </w:rPr>
        <w:t xml:space="preserve">A · Startup check</w:t>
      </w:r>
    </w:p>
    <w:p>
      <w:pPr>
        <w:spacing w:after="140" w:before="0"/>
      </w:pPr>
      <w:r>
        <w:rPr>
          <w:i/>
          <w:iCs/>
          <w:color w:val="555555"/>
          <w:sz w:val="19"/>
          <w:szCs w:val="19"/>
        </w:rPr>
        <w:t xml:space="preserve">Manual §6.3 p. 11 — the only pre-start procedure the manual states.</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TRI-LAK-A</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Confirm all hoppers are empty and that all moving parts are in good working condition.</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Hoppers empty; moving parts sound. (Manual: "Ensure that all hoppers are empty and that all moving parts are in good working condition.")</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§6.3 p. 11</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Power up the machine and the indicators. Watch the air cylinders during power-up.</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NO air cylinder moves when the indicators are powered on. (Manual: "No air cylinders should move when the indicators are powered on.")</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§6.3 p. 11</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Check each weight display for a warning or error banner before selecting Cycle on.</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No banner showing. The banners that can appear are listed in §9.1 — Setup required, Cal required, Excite Shorted!, ADC Full Scale, Rmt 1 / Rmt 2 / Mstr comm fail?, Downstream jam!, IR locked.</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§9.1 pp. 16–17</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4</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Confirm the two remote indicators follow the master into Cycle on.</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Both remotes show "On" when Cycle on is selected at the master.</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§6.3 p. 11</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B · Washdown and cleanout lockout</w:t>
      </w:r>
    </w:p>
    <w:p>
      <w:pPr>
        <w:spacing w:after="140" w:before="0"/>
      </w:pPr>
      <w:r>
        <w:rPr>
          <w:i/>
          <w:iCs/>
          <w:color w:val="555555"/>
          <w:sz w:val="19"/>
          <w:szCs w:val="19"/>
        </w:rPr>
        <w:t xml:space="preserve">Manual §2 p. 5, §3.2 p. 6, §6.5 p. 12, §11.2 p. 25 — the manual's stated cleaning procedure.</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TRI-LAK-B</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Put each indicator into Washdown mode before any cleaning starts.</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Indicator still weighs but the keypad is locked out. The keypad is touch-sensitive and reacts to water streams — this is why the mode exists.</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§2 p. 5, §3.2 p. 6</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Put the machine into Cycle idle for cleanout.</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All hopper gates lock OPEN to allow cleaning; the indexing belt can run to aid cleanup; the display shows "Idle" on the left. (If a washdown/idle button is fitted, pushing it in does the same thing.)</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§6.5 p. 12, §11.2 p. 25</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To release the keypad after cleaning, follow the lit-key sequence.</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Five correct keypresses in a row are required before the keypad unlocks; any wrong press restarts the count at five. Display reads "Exit washdown".</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§2 p. 5</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C · Gate and valve function test</w:t>
      </w:r>
    </w:p>
    <w:p>
      <w:pPr>
        <w:spacing w:after="140" w:before="0"/>
      </w:pPr>
      <w:r>
        <w:rPr>
          <w:i/>
          <w:iCs/>
          <w:color w:val="555555"/>
          <w:sz w:val="19"/>
          <w:szCs w:val="19"/>
        </w:rPr>
        <w:t xml:space="preserve">Manual §12.3 p. 28 — the quick test the manual prescribes for machine problems.</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TRI-LAK-C</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Select Cycle off.</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All the valves energize, shutting all gates.</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§12.3 p. 28</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Select Cycle idle.</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All the valves de-energize, opening all gates.</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§12.3 p. 28</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Note any gate that does not move during either transition.</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Every gate moves on both transitions. For one that does not, the manual's method is to start swapping parts around to determine where the problem lies.</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§12.3 p. 28</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D · Full I/O test</w:t>
      </w:r>
    </w:p>
    <w:p>
      <w:pPr>
        <w:spacing w:after="140" w:before="0"/>
      </w:pPr>
      <w:r>
        <w:rPr>
          <w:i/>
          <w:iCs/>
          <w:color w:val="555555"/>
          <w:sz w:val="19"/>
          <w:szCs w:val="19"/>
        </w:rPr>
        <w:t xml:space="preserve">Manual §6.1 p. 9, §10.7 p. 22, §12.6–12.7 p. 30 — the manual's commissioning test, repeated as a check.</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TRI-LAK-D</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At the master indicator, go to Setup menu / I/O test. Step through and toggle each output in turn: Line, Master dvrt, Master wgt, Index belt, Rmt #1 dvrt, Rmt #1 wgt, Rmt #2 dvrt, Rmt #2 wgt.</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Manual: verify "that the modules, pneumatic valves, cylinders, and indexing belt do the right thing."</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§6.1 p. 9, §10.7 p. 22</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Compare what the display reports against what the gate physically does.</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They match. Manual: "If the display shows that a gate is open, but it's really closed, check to see if the plumbing is reversed."</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§6.1 p. 9</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Check the Opto live display — confirm the sensor detects boxes.</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Box / no-box state changes as boxes pass. If box detection is reversed, check the "Opto mode" setting in the Dump settings menu (the system works with either light- or dark-operate sensors).</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§6.1 p. 9, §10.7 p. 22</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4</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Cross-check module states against the as-built module assignment tables.</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Master: M1 ODC5 infeed drive, M2 OAC5 diverter, M3 OAC5 weigh gate, M4 IDC5 box sensor, M5 ODC5 index drive. Remotes: M1 OAC5 diverter, M2 OAC5 weigh gate.</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§12.6–12.7 p. 30</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E · Load cell and indicator health readings</w:t>
      </w:r>
    </w:p>
    <w:p>
      <w:pPr>
        <w:spacing w:after="140" w:before="0"/>
      </w:pPr>
      <w:r>
        <w:rPr>
          <w:i/>
          <w:iCs/>
          <w:color w:val="555555"/>
          <w:sz w:val="19"/>
          <w:szCs w:val="19"/>
        </w:rPr>
        <w:t xml:space="preserve">Manual §10.9 p. 23, §11.6 p. 27, §12.1 p. 28. Record on Attachment A — all three heads.</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TRI-LAK-E</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Info menu: read and record Excite on each head.</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About 4.5 V. A reading below 1 V probably indicates a short from excite to ground. Confirm by removing the load cell connections — if excite reads normal disconnected, the short is in the cable or the cell.</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§12.1 p. 28, §11.6 p. 27</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Info menu: read and record S1+ and S1− on each head.</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Each about half of excite, and very close to each other. One near zero or near 4 V suggests a disconnected signal wire — check at the interface board. More than 0.5 V apart suggests a miswired or bent load cell.</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§12.1 p. 28</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Info menu: read and record ADC raw counts on each head.</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Should not vary more than 100–300 counts with a good cell in a stable environment. With no load, within ±10,000 counts of zero (deadload can shift the no-load reading). Greater than +/−1,000,000 counts with solid connections probably means a bent cell. Full scale is ±8 million.</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§12.1 p. 28, §11.6 p. 27</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4</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Info menu: read and record Offset, Deadload and Batt on each head.</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Deadload is an approximation of platform deadload. Batt will generally read between 6 and 8 volts.</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§11.6 p. 27</w:t>
            </w:r>
          </w:p>
        </w:tc>
      </w:tr>
      <w:tr>
        <w:tc>
          <w:tcPr>
            <w:tcW w:type="dxa" w:w="620"/>
            <w:tcMar>
              <w:top w:type="dxa" w:w="70"/>
              <w:left w:type="dxa" w:w="110"/>
              <w:bottom w:type="dxa" w:w="70"/>
              <w:right w:type="dxa" w:w="110"/>
            </w:tcMar>
          </w:tcPr>
          <w:p>
            <w:pPr>
              <w:spacing w:after="0" w:before="0"/>
            </w:pPr>
            <w:r>
              <w:rPr>
                <w:b/>
                <w:bCs/>
                <w:color w:val="000000"/>
                <w:sz w:val="18"/>
                <w:szCs w:val="18"/>
              </w:rPr>
              <w:t xml:space="preserve">5</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Info menu: read and record Stbl err and Dump err on each head.</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Stbl err = times a weigh hopper did not stabilize before the timeout aborted it. Dump err = times a weigh hopper did not empty out.</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§10.9 p. 23</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F · Load cell test without recalibrating</w:t>
      </w:r>
    </w:p>
    <w:p>
      <w:pPr>
        <w:spacing w:after="140" w:before="0"/>
      </w:pPr>
      <w:r>
        <w:rPr>
          <w:i/>
          <w:iCs/>
          <w:color w:val="555555"/>
          <w:sz w:val="19"/>
          <w:szCs w:val="19"/>
        </w:rPr>
        <w:t xml:space="preserve">Manual §11.5 p. 26 — the manual explicitly offers this as a troubleshooting check.</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TRI-LAK-F</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Enter the calibration routine on each head, then press Cancel at the cal weight prompt to exit without calibrating.</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Manual: "Feel free to enter the routine to do a load cell test, and touch the cancel key to exit without calibrating at the cal weight prompt. This can be a handy troubleshooting feature."</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§11.5 p. 26</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Note any calibration warning raised on entry.</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None expected. The four possible warnings are: Check load cell (reading past full scale), Check excite (excitation below 4.0 V), Check ex− wire (both signals above 4.0 V), Check ex+ wire (both signals below 1.0 V).</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§9.2 p. 17</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G · Calibration</w:t>
      </w:r>
    </w:p>
    <w:p>
      <w:pPr>
        <w:spacing w:after="140" w:before="0"/>
      </w:pPr>
      <w:r>
        <w:rPr>
          <w:i/>
          <w:iCs/>
          <w:color w:val="555555"/>
          <w:sz w:val="19"/>
          <w:szCs w:val="19"/>
        </w:rPr>
        <w:t xml:space="preserve">Manual §7 pp. 13–14, §11.5 p. 26. The manual gives the procedure but states no interval — see Open Items.</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TRI-LAK-G</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Menu / Help → scroll to "Calibrate" → Enter → key in the calibration password.</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Default calibration password is Zero, Zero, Zero.</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§7.1 p. 13</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Key in the size of the calibration weight in pounds.</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Manual gives 1, 2, 5 or 10 lb as the expected sizes.</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§7.2 p. 13</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Establish zero: remove all weight and foreign objects, wait for vibration to die out, press Enter.</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Per §7.4.</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§7.4 p. 14</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4</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Apply the cal weight and accept it.</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Per §7.5.</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§7.5 p. 14</w:t>
            </w:r>
          </w:p>
        </w:tc>
      </w:tr>
      <w:tr>
        <w:tc>
          <w:tcPr>
            <w:tcW w:type="dxa" w:w="620"/>
            <w:tcMar>
              <w:top w:type="dxa" w:w="70"/>
              <w:left w:type="dxa" w:w="110"/>
              <w:bottom w:type="dxa" w:w="70"/>
              <w:right w:type="dxa" w:w="110"/>
            </w:tcMar>
          </w:tcPr>
          <w:p>
            <w:pPr>
              <w:spacing w:after="0" w:before="0"/>
            </w:pPr>
            <w:r>
              <w:rPr>
                <w:b/>
                <w:bCs/>
                <w:color w:val="000000"/>
                <w:sz w:val="18"/>
                <w:szCs w:val="18"/>
              </w:rPr>
              <w:t xml:space="preserve">5</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Record the Audit cal counter afterwards (see group H).</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Increments by one on every calibration.</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§3.7 p. 6</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H · Audit counters</w:t>
      </w:r>
    </w:p>
    <w:p>
      <w:pPr>
        <w:spacing w:after="140" w:before="0"/>
      </w:pPr>
      <w:r>
        <w:rPr>
          <w:i/>
          <w:iCs/>
          <w:color w:val="555555"/>
          <w:sz w:val="19"/>
          <w:szCs w:val="19"/>
        </w:rPr>
        <w:t xml:space="preserve">Manual §3.6 p. 6, §3.7 p. 6 — nonvolatile counters that cannot be altered by any other means.</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TRI-LAK-H</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Record the Audit cfg counter on each head.</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Increments by one every time a sealed scale parameter is modified. Nonvolatile — retained even if the batteries go dead, and cannot be altered except by modifying an audited configuration parameter.</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§3.6 p. 6</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Record the Audit cal counter on each head.</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Increments by one every time the scale is calibrated.</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§3.7 p. 6</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Compare both against the previous record.</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Unchanged unless a work order accounts for the change.</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§3.6–3.7 p. 6</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I · Communications check</w:t>
      </w:r>
    </w:p>
    <w:p>
      <w:pPr>
        <w:spacing w:after="140" w:before="0"/>
      </w:pPr>
      <w:r>
        <w:rPr>
          <w:i/>
          <w:iCs/>
          <w:color w:val="555555"/>
          <w:sz w:val="19"/>
          <w:szCs w:val="19"/>
        </w:rPr>
        <w:t xml:space="preserve">Manual §10.8 p. 22, §9.1 p. 17 — the RS-485 link between master and the two remotes.</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TRI-LAK-I</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Setup menu → RS-485 menu. Record 485 rx, 485 tx, 485 in, 485 out, 485 crc, 485 err.</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485 crc = corrupted commands received; 485 err = corrupt bytes received. Rising crc/err counts indicate a communications problem.</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§10.8 p. 22</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Confirm no communications banner has appeared since the last check.</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"Rmt 1 comm fail?" / "Rmt 2 comm fail?" — remote has not replied to the master; check settings at that remote and the RS-485 wiring. "Mstr comm fail?" at a remote — master not seen; check the master is powered and configured as master.</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§9.1 p. 17</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J · Machine function tests</w:t>
      </w:r>
    </w:p>
    <w:p>
      <w:pPr>
        <w:spacing w:after="140" w:before="0"/>
      </w:pPr>
      <w:r>
        <w:rPr>
          <w:i/>
          <w:iCs/>
          <w:color w:val="555555"/>
          <w:sz w:val="19"/>
          <w:szCs w:val="19"/>
        </w:rPr>
        <w:t xml:space="preserve">Manual §10.9 p. 23, §11.6 p. 27 — test functions the manual provides in the Info menu.</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TRI-LAK-J</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Info menu → Force index. Index a single box without dumping (master only).</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Manual: verifies "that the indexing belt is working properly and that the index time parameter is set to place the box under the hopper funnel."</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§11.6 p. 27, §10.9 p. 23</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Info menu → Wiggle test. Manually force the system to wiggle the diverters.</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Diverter gates move far enough to break up a jam. Governed by the Wiggle tm and Wiggle ct settings.</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§10.9 p. 23, §6.1 p. 10</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Info menu → Fill jam. Read the jam detection status.</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Status display only.</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§10.9 p. 23</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r>
        <w:br w:type="page"/>
      </w:r>
    </w:p>
    <w:p>
      <w:pPr>
        <w:pStyle w:val="Heading2"/>
        <w:spacing w:after="110" w:before="260"/>
      </w:pPr>
      <w:r>
        <w:rPr>
          <w:b/>
          <w:bCs/>
          <w:color w:val="1F3864"/>
          <w:sz w:val="23"/>
          <w:szCs w:val="23"/>
        </w:rPr>
        <w:t xml:space="preserve">K · Identity, clock and settings record</w:t>
      </w:r>
    </w:p>
    <w:p>
      <w:pPr>
        <w:spacing w:after="140" w:before="0"/>
      </w:pPr>
      <w:r>
        <w:rPr>
          <w:i/>
          <w:iCs/>
          <w:color w:val="555555"/>
          <w:sz w:val="19"/>
          <w:szCs w:val="19"/>
        </w:rPr>
        <w:t xml:space="preserve">Manual §11.4 p. 25, §11.6 p. 27, §12.5 p. 30 — the information WeighTech asks for on a support call.</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TRI-LAK-K</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620"/>
        <w:gridCol w:w="3460"/>
        <w:gridCol w:w="3620"/>
        <w:gridCol w:w="1660"/>
      </w:tblGrid>
      <w:tr>
        <w:trPr>
          <w:tblHeader/>
        </w:trPr>
        <w:tc>
          <w:tcPr>
            <w:tcW w:type="dxa" w:w="620"/>
            <w:shd w:fill="1F3864"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1F3864"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1F3864" w:color="auto" w:val="clear"/>
            <w:tcMar>
              <w:top w:type="dxa" w:w="70"/>
              <w:left w:type="dxa" w:w="110"/>
              <w:bottom w:type="dxa" w:w="70"/>
              <w:right w:type="dxa" w:w="110"/>
            </w:tcMar>
          </w:tcPr>
          <w:p>
            <w:pPr>
              <w:spacing w:after="0" w:before="0"/>
            </w:pPr>
            <w:r>
              <w:rPr>
                <w:b/>
                <w:bCs/>
                <w:color w:val="FFFFFF"/>
                <w:sz w:val="18"/>
                <w:szCs w:val="18"/>
              </w:rPr>
              <w:t xml:space="preserve">Acceptance criterion (from the manual)</w:t>
            </w:r>
          </w:p>
        </w:tc>
        <w:tc>
          <w:tcPr>
            <w:tcW w:type="dxa" w:w="1660"/>
            <w:shd w:fill="1F3864" w:color="auto" w:val="clear"/>
            <w:tcMar>
              <w:top w:type="dxa" w:w="70"/>
              <w:left w:type="dxa" w:w="110"/>
              <w:bottom w:type="dxa" w:w="70"/>
              <w:right w:type="dxa" w:w="110"/>
            </w:tcMar>
          </w:tcPr>
          <w:p>
            <w:pPr>
              <w:spacing w:after="0" w:before="0"/>
            </w:pPr>
            <w:r>
              <w:rPr>
                <w:b/>
                <w:bCs/>
                <w:color w:val="FFFFFF"/>
                <w:sz w:val="18"/>
                <w:szCs w:val="18"/>
              </w:rPr>
              <w:t xml:space="preserve">Manual ref.</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Record App, Build, Date and Time from the Info menu on each head.</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As-built: App "tri index 3", Build 49, Date 02/13/2024, Time 21:38:57. Note: Date and Time here are the firmware compilation stamp, NOT the current date and time. A mismatch between heads is a finding.</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§10.9 p. 23, §11.6 p. 27</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Record the indicator serial number from each front panel.</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Not printed in the manual — it is on the front panel. Manual §12.5 says to gather it before calling WeighTech.</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§12.5 p. 30</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Setup menu → Clock. Check the real-time clock date and time.</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The MicroWeigh real-time clock is battery operated and keeps time while the controller is powered off. A clock that has lost time points at the battery.</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§11.4 p. 25</w:t>
            </w:r>
          </w:p>
        </w:tc>
      </w:tr>
      <w:tr>
        <w:tc>
          <w:tcPr>
            <w:tcW w:type="dxa" w:w="620"/>
            <w:shd w:fill="F2F5F9" w:color="auto" w:val="clear"/>
            <w:tcMar>
              <w:top w:type="dxa" w:w="70"/>
              <w:left w:type="dxa" w:w="110"/>
              <w:bottom w:type="dxa" w:w="70"/>
              <w:right w:type="dxa" w:w="110"/>
            </w:tcMar>
          </w:tcPr>
          <w:p>
            <w:pPr>
              <w:spacing w:after="0" w:before="0"/>
            </w:pPr>
            <w:r>
              <w:rPr>
                <w:b/>
                <w:bCs/>
                <w:color w:val="000000"/>
                <w:sz w:val="18"/>
                <w:szCs w:val="18"/>
              </w:rPr>
              <w:t xml:space="preserve">4</w:t>
            </w:r>
          </w:p>
        </w:tc>
        <w:tc>
          <w:tcPr>
            <w:tcW w:type="dxa" w:w="34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Record the totals, then clear them if the site wants per-period figures.</w:t>
            </w:r>
          </w:p>
        </w:tc>
        <w:tc>
          <w:tcPr>
            <w:tcW w:type="dxa" w:w="36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Totals menu gives Cnt / Wgt / Avg per hopper (M, 1, 2) and for all hoppers (*). Clear totals asks for confirmation before clearing.</w:t>
            </w:r>
          </w:p>
        </w:tc>
        <w:tc>
          <w:tcPr>
            <w:tcW w:type="dxa" w:w="16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§10.3 p. 19, §11.3 p. 25</w:t>
            </w:r>
          </w:p>
        </w:tc>
      </w:tr>
    </w:tbl>
    <w:p>
      <w:pPr>
        <w:spacing w:after="130"/>
      </w:pPr>
    </w:p>
    <w:p>
      <w:pPr>
        <w:spacing w:after="120" w:before="0"/>
      </w:pPr>
      <w:r>
        <w:rPr>
          <w:color w:val="555555"/>
          <w:sz w:val="18"/>
          <w:szCs w:val="18"/>
        </w:rPr>
        <w:t xml:space="preserve">Technician _________________________    Date ______________    Complete: Y / N    Findings raised: ____________</w:t>
      </w:r>
    </w:p>
    <w:p>
      <w:pPr>
        <w:spacing w:after="200"/>
      </w:pPr>
    </w:p>
    <w:tbl>
      <w:tblPr>
        <w:tblW w:type="dxa" w:w="9360"/>
        <w:tblBorders>
          <w:top w:val="single" w:color="5B8FA8" w:sz="4"/>
          <w:left w:val="single" w:color="5B8FA8" w:sz="4"/>
          <w:bottom w:val="single" w:color="5B8FA8" w:sz="4"/>
          <w:right w:val="single" w:color="5B8FA8" w:sz="4"/>
          <w:insideH w:val="single" w:color="5B8FA8" w:sz="2"/>
          <w:insideV w:val="single" w:color="5B8FA8" w:sz="2"/>
        </w:tblBorders>
      </w:tblPr>
      <w:tblGrid>
        <w:gridCol w:w="9360"/>
      </w:tblGrid>
      <w:tr>
        <w:tc>
          <w:tcPr>
            <w:tcW w:type="dxa" w:w="9360"/>
            <w:tcBorders>
              <w:top w:val="single" w:color="5B8FA8" w:sz="4"/>
              <w:left w:val="single" w:color="5B8FA8" w:sz="18"/>
              <w:bottom w:val="single" w:color="5B8FA8" w:sz="4"/>
              <w:right w:val="single" w:color="5B8FA8" w:sz="4"/>
            </w:tcBorders>
            <w:shd w:fill="EAF1F8" w:color="auto" w:val="clear"/>
            <w:tcMar>
              <w:top w:type="dxa" w:w="130"/>
              <w:left w:type="dxa" w:w="160"/>
              <w:bottom w:type="dxa" w:w="130"/>
              <w:right w:type="dxa" w:w="160"/>
            </w:tcMar>
          </w:tcPr>
          <w:p>
            <w:pPr>
              <w:spacing w:after="80"/>
            </w:pPr>
            <w:r>
              <w:rPr>
                <w:b/>
                <w:bCs/>
                <w:color w:val="1F4E5F"/>
                <w:sz w:val="20"/>
                <w:szCs w:val="20"/>
              </w:rPr>
              <w:t xml:space="preserve">What the manual says usually goes wrong on this machine</w:t>
            </w:r>
          </w:p>
          <w:p>
            <w:pPr>
              <w:spacing w:after="80"/>
            </w:pPr>
            <w:r>
              <w:rPr>
                <w:i/>
                <w:iCs/>
                <w:sz w:val="19"/>
                <w:szCs w:val="19"/>
              </w:rPr>
              <w:t xml:space="preserve">“Most machine related problems can be traced to bad air supply (excessive water and condensation), sticky air cylinders, worn or clogged solenoid air valves, and wiring.”</w:t>
            </w:r>
          </w:p>
          <w:p>
            <w:pPr>
              <w:spacing w:after="0"/>
            </w:pPr>
            <w:r>
              <w:rPr>
                <w:sz w:val="19"/>
                <w:szCs w:val="19"/>
              </w:rPr>
              <w:t xml:space="preserve">— Manual §12.3, p. 28. These four are why groups C and D are worth running.</w:t>
            </w:r>
          </w:p>
        </w:tc>
      </w:tr>
    </w:tbl>
    <w:p>
      <w:r>
        <w:br w:type="page"/>
      </w:r>
    </w:p>
    <w:p>
      <w:pPr>
        <w:spacing w:after="40"/>
      </w:pPr>
      <w:r>
        <w:rPr>
          <w:b/>
          <w:bCs/>
          <w:color w:val="A8845C"/>
          <w:sz w:val="20"/>
          <w:szCs w:val="20"/>
        </w:rPr>
        <w:t xml:space="preserve">PART 2</w:t>
      </w:r>
    </w:p>
    <w:p>
      <w:pPr>
        <w:pBdr>
          <w:bottom w:val="single" w:color="5B3A1E" w:sz="12" w:space="8"/>
        </w:pBdr>
        <w:spacing w:after="100"/>
      </w:pPr>
      <w:r>
        <w:rPr>
          <w:b/>
          <w:bCs/>
          <w:color w:val="5B3A1E"/>
          <w:sz w:val="34"/>
          <w:szCs w:val="34"/>
        </w:rPr>
        <w:t xml:space="preserve">From the component manufacturers</w:t>
      </w:r>
    </w:p>
    <w:tbl>
      <w:tblPr>
        <w:tblW w:type="dxa" w:w="9360"/>
        <w:tblBorders>
          <w:top w:val="single" w:color="A8845C" w:sz="4"/>
          <w:left w:val="single" w:color="A8845C" w:sz="4"/>
          <w:bottom w:val="single" w:color="A8845C" w:sz="4"/>
          <w:right w:val="single" w:color="A8845C" w:sz="4"/>
          <w:insideH w:val="single" w:color="A8845C" w:sz="2"/>
          <w:insideV w:val="single" w:color="A8845C" w:sz="2"/>
        </w:tblBorders>
      </w:tblPr>
      <w:tblGrid>
        <w:gridCol w:w="9360"/>
      </w:tblGrid>
      <w:tr>
        <w:tc>
          <w:tcPr>
            <w:tcW w:type="dxa" w:w="9360"/>
            <w:tcBorders>
              <w:top w:val="single" w:color="A8845C" w:sz="4"/>
              <w:left w:val="single" w:color="A8845C" w:sz="18"/>
              <w:bottom w:val="single" w:color="A8845C" w:sz="4"/>
              <w:right w:val="single" w:color="A8845C" w:sz="4"/>
            </w:tcBorders>
            <w:shd w:fill="F5EDE2" w:color="auto" w:val="clear"/>
            <w:tcMar>
              <w:top w:type="dxa" w:w="130"/>
              <w:left w:type="dxa" w:w="160"/>
              <w:bottom w:type="dxa" w:w="130"/>
              <w:right w:type="dxa" w:w="160"/>
            </w:tcMar>
          </w:tcPr>
          <w:p>
            <w:pPr>
              <w:spacing w:after="80"/>
            </w:pPr>
            <w:r>
              <w:rPr>
                <w:b/>
                <w:bCs/>
                <w:color w:val="5B3A1E"/>
                <w:sz w:val="20"/>
                <w:szCs w:val="20"/>
              </w:rPr>
              <w:t xml:space="preserve">None of the following is in the WeighTech manual</w:t>
            </w:r>
          </w:p>
          <w:p>
            <w:pPr>
              <w:spacing w:after="0"/>
            </w:pPr>
            <w:r>
              <w:rPr>
                <w:sz w:val="19"/>
                <w:szCs w:val="19"/>
              </w:rPr>
              <w:t xml:space="preserve">These requirements come from the makers of parts installed in this machine. They are sourced and real, but WeighTech does not state them, so they are kept separate from Part 1. Each line cites its own document. Treat this part as optional scope for Buddy's Kitchen to accept or reject.</w:t>
            </w:r>
          </w:p>
        </w:tc>
      </w:tr>
    </w:tbl>
    <w:p>
      <w:pPr>
        <w:spacing w:after="200"/>
      </w:pPr>
    </w:p>
    <w:p>
      <w:pPr>
        <w:pStyle w:val="Heading2"/>
        <w:spacing w:after="110" w:before="260"/>
      </w:pPr>
      <w:r>
        <w:rPr>
          <w:b/>
          <w:bCs/>
          <w:color w:val="5B3A1E"/>
          <w:sz w:val="23"/>
          <w:szCs w:val="23"/>
        </w:rPr>
        <w:t xml:space="preserve">L · Variable speed drive maintenance (2 drives)</w:t>
      </w:r>
    </w:p>
    <w:p>
      <w:pPr>
        <w:spacing w:after="140" w:before="0"/>
      </w:pPr>
      <w:r>
        <w:rPr>
          <w:i/>
          <w:iCs/>
          <w:color w:val="555555"/>
          <w:sz w:val="19"/>
          <w:szCs w:val="19"/>
        </w:rPr>
        <w:t xml:space="preserve">Applies to both Optidrive E3 units: Infeed (460 V, 1.0 HP, part EP0028) and Box Takeaway (460 V, 2.0 HP, part EP0029). Invertek's user guide states this as a routine maintenance requirement; the WeighTech manual reproduces the drives' parameter listings but says nothing about maintaining them.</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TRI-LAK-L</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A8845C" w:sz="4"/>
          <w:left w:val="single" w:color="A8845C" w:sz="4"/>
          <w:bottom w:val="single" w:color="A8845C" w:sz="4"/>
          <w:right w:val="single" w:color="A8845C" w:sz="4"/>
          <w:insideH w:val="single" w:color="A8845C" w:sz="2"/>
          <w:insideV w:val="single" w:color="A8845C" w:sz="2"/>
        </w:tblBorders>
      </w:tblPr>
      <w:tblGrid>
        <w:gridCol w:w="620"/>
        <w:gridCol w:w="3460"/>
        <w:gridCol w:w="3620"/>
        <w:gridCol w:w="1660"/>
      </w:tblGrid>
      <w:tr>
        <w:trPr>
          <w:tblHeader/>
        </w:trPr>
        <w:tc>
          <w:tcPr>
            <w:tcW w:type="dxa" w:w="620"/>
            <w:shd w:fill="5B3A1E"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5B3A1E"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5B3A1E" w:color="auto" w:val="clear"/>
            <w:tcMar>
              <w:top w:type="dxa" w:w="70"/>
              <w:left w:type="dxa" w:w="110"/>
              <w:bottom w:type="dxa" w:w="70"/>
              <w:right w:type="dxa" w:w="110"/>
            </w:tcMar>
          </w:tcPr>
          <w:p>
            <w:pPr>
              <w:spacing w:after="0" w:before="0"/>
            </w:pPr>
            <w:r>
              <w:rPr>
                <w:b/>
                <w:bCs/>
                <w:color w:val="FFFFFF"/>
                <w:sz w:val="18"/>
                <w:szCs w:val="18"/>
              </w:rPr>
              <w:t xml:space="preserve">Acceptance criterion</w:t>
            </w:r>
          </w:p>
        </w:tc>
        <w:tc>
          <w:tcPr>
            <w:tcW w:type="dxa" w:w="1660"/>
            <w:shd w:fill="5B3A1E" w:color="auto" w:val="clear"/>
            <w:tcMar>
              <w:top w:type="dxa" w:w="70"/>
              <w:left w:type="dxa" w:w="110"/>
              <w:bottom w:type="dxa" w:w="70"/>
              <w:right w:type="dxa" w:w="110"/>
            </w:tcMar>
          </w:tcPr>
          <w:p>
            <w:pPr>
              <w:spacing w:after="0" w:before="0"/>
            </w:pPr>
            <w:r>
              <w:rPr>
                <w:b/>
                <w:bCs/>
                <w:color w:val="FFFFFF"/>
                <w:sz w:val="18"/>
                <w:szCs w:val="18"/>
              </w:rPr>
              <w:t xml:space="preserve">Source</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Confirm ambient temperature around the drives is at or below the drive's environmental limit.</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−10 to 50 °C for open (IP20) drives, −10 to 40 °C for enclosed drives, frost and condensation free. Max humidity 95% non-condensing. Confirm which limit applies from the drive's IP rating.</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Invertek ODE-3 §3.9 p. 10, §9.1 p. 26</w:t>
            </w:r>
          </w:p>
        </w:tc>
      </w:tr>
      <w:tr>
        <w:tc>
          <w:tcPr>
            <w:tcW w:type="dxa" w:w="620"/>
            <w:shd w:fill="FAF5EE"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Confirm heatsink fans are freely rotating and dust free.</w:t>
            </w:r>
          </w:p>
        </w:tc>
        <w:tc>
          <w:tcPr>
            <w:tcW w:type="dxa" w:w="362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Quoted requirement: "Heat sink fans freely rotating and dust free."</w:t>
            </w:r>
          </w:p>
        </w:tc>
        <w:tc>
          <w:tcPr>
            <w:tcW w:type="dxa" w:w="16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Invertek ODE-3 §3.9 p. 10</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Confirm the enclosure is free from dust and condensation, and that ventilation fans and air filters are giving correct air flow.</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Quoted requirement: enclosure "free from dust and condensation; furthermore ventilation fans and air filters should be checked for correct air flow."</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Invertek ODE-3 §3.9 p. 10</w:t>
            </w:r>
          </w:p>
        </w:tc>
      </w:tr>
      <w:tr>
        <w:tc>
          <w:tcPr>
            <w:tcW w:type="dxa" w:w="620"/>
            <w:shd w:fill="FAF5EE" w:color="auto" w:val="clear"/>
            <w:tcMar>
              <w:top w:type="dxa" w:w="70"/>
              <w:left w:type="dxa" w:w="110"/>
              <w:bottom w:type="dxa" w:w="70"/>
              <w:right w:type="dxa" w:w="110"/>
            </w:tcMar>
          </w:tcPr>
          <w:p>
            <w:pPr>
              <w:spacing w:after="0" w:before="0"/>
            </w:pPr>
            <w:r>
              <w:rPr>
                <w:b/>
                <w:bCs/>
                <w:color w:val="000000"/>
                <w:sz w:val="18"/>
                <w:szCs w:val="18"/>
              </w:rPr>
              <w:t xml:space="preserve">4</w:t>
            </w:r>
          </w:p>
        </w:tc>
        <w:tc>
          <w:tcPr>
            <w:tcW w:type="dxa" w:w="34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Check all electrical connections and confirm screw terminals are correctly torqued.</w:t>
            </w:r>
          </w:p>
        </w:tc>
        <w:tc>
          <w:tcPr>
            <w:tcW w:type="dxa" w:w="362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Frame sizes 1–3: control terminals 0.5 N·m (4.5 lb-in), power terminals 1 N·m (9 lb-in).</w:t>
            </w:r>
          </w:p>
        </w:tc>
        <w:tc>
          <w:tcPr>
            <w:tcW w:type="dxa" w:w="16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Invertek ODE-3 §3.9 p. 10, §3.3/3.5</w:t>
            </w:r>
          </w:p>
        </w:tc>
      </w:tr>
      <w:tr>
        <w:tc>
          <w:tcPr>
            <w:tcW w:type="dxa" w:w="620"/>
            <w:tcMar>
              <w:top w:type="dxa" w:w="70"/>
              <w:left w:type="dxa" w:w="110"/>
              <w:bottom w:type="dxa" w:w="70"/>
              <w:right w:type="dxa" w:w="110"/>
            </w:tcMar>
          </w:tcPr>
          <w:p>
            <w:pPr>
              <w:spacing w:after="0" w:before="0"/>
            </w:pPr>
            <w:r>
              <w:rPr>
                <w:b/>
                <w:bCs/>
                <w:color w:val="000000"/>
                <w:sz w:val="18"/>
                <w:szCs w:val="18"/>
              </w:rPr>
              <w:t xml:space="preserve">5</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Inspect power cables for signs of heat damage.</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No discoloration, embrittlement or deformation.</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Invertek ODE-3 §3.9 p. 10</w:t>
            </w:r>
          </w:p>
        </w:tc>
      </w:tr>
      <w:tr>
        <w:tc>
          <w:tcPr>
            <w:tcW w:type="dxa" w:w="620"/>
            <w:shd w:fill="FAF5EE" w:color="auto" w:val="clear"/>
            <w:tcMar>
              <w:top w:type="dxa" w:w="70"/>
              <w:left w:type="dxa" w:w="110"/>
              <w:bottom w:type="dxa" w:w="70"/>
              <w:right w:type="dxa" w:w="110"/>
            </w:tcMar>
          </w:tcPr>
          <w:p>
            <w:pPr>
              <w:spacing w:after="0" w:before="0"/>
            </w:pPr>
            <w:r>
              <w:rPr>
                <w:b/>
                <w:bCs/>
                <w:color w:val="000000"/>
                <w:sz w:val="18"/>
                <w:szCs w:val="18"/>
              </w:rPr>
              <w:t xml:space="preserve">6</w:t>
            </w:r>
          </w:p>
        </w:tc>
        <w:tc>
          <w:tcPr>
            <w:tcW w:type="dxa" w:w="34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Record the drive diagnostic parameters and compare against the as-built listing — see Attachment B.</w:t>
            </w:r>
          </w:p>
        </w:tc>
        <w:tc>
          <w:tcPr>
            <w:tcW w:type="dxa" w:w="362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See Attachment B for the as-built values printed in the WeighTech manual.</w:t>
            </w:r>
          </w:p>
        </w:tc>
        <w:tc>
          <w:tcPr>
            <w:tcW w:type="dxa" w:w="16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Attachment B</w:t>
            </w:r>
          </w:p>
        </w:tc>
      </w:tr>
    </w:tbl>
    <w:p>
      <w:r>
        <w:br w:type="page"/>
      </w:r>
    </w:p>
    <w:p>
      <w:pPr>
        <w:pStyle w:val="Heading2"/>
        <w:spacing w:after="110" w:before="260"/>
      </w:pPr>
      <w:r>
        <w:rPr>
          <w:b/>
          <w:bCs/>
          <w:color w:val="5B3A1E"/>
          <w:sz w:val="23"/>
          <w:szCs w:val="23"/>
        </w:rPr>
        <w:t xml:space="preserve">M · Compressed air quality (Festo valve manifold)</w:t>
      </w:r>
    </w:p>
    <w:p>
      <w:pPr>
        <w:spacing w:after="140" w:before="0"/>
      </w:pPr>
      <w:r>
        <w:rPr>
          <w:i/>
          <w:iCs/>
          <w:color w:val="555555"/>
          <w:sz w:val="19"/>
          <w:szCs w:val="19"/>
        </w:rPr>
        <w:t xml:space="preserve">The machine's valve manifold is Festo (WeighTech parts AV0044–AV0048). Festo's general operating conditions set a residual-oil limit for the compressed air supply; exceeding it flushes out the valve's basic lubricant and shortens service life. The WeighTech manual blames "bad air supply" for most machine problems (§12.3 p. 28) but gives no specification to check against.</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TRI-LAK-M</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A8845C" w:sz="4"/>
          <w:left w:val="single" w:color="A8845C" w:sz="4"/>
          <w:bottom w:val="single" w:color="A8845C" w:sz="4"/>
          <w:right w:val="single" w:color="A8845C" w:sz="4"/>
          <w:insideH w:val="single" w:color="A8845C" w:sz="2"/>
          <w:insideV w:val="single" w:color="A8845C" w:sz="2"/>
        </w:tblBorders>
      </w:tblPr>
      <w:tblGrid>
        <w:gridCol w:w="620"/>
        <w:gridCol w:w="3460"/>
        <w:gridCol w:w="3620"/>
        <w:gridCol w:w="1660"/>
      </w:tblGrid>
      <w:tr>
        <w:trPr>
          <w:tblHeader/>
        </w:trPr>
        <w:tc>
          <w:tcPr>
            <w:tcW w:type="dxa" w:w="620"/>
            <w:shd w:fill="5B3A1E"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5B3A1E"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5B3A1E" w:color="auto" w:val="clear"/>
            <w:tcMar>
              <w:top w:type="dxa" w:w="70"/>
              <w:left w:type="dxa" w:w="110"/>
              <w:bottom w:type="dxa" w:w="70"/>
              <w:right w:type="dxa" w:w="110"/>
            </w:tcMar>
          </w:tcPr>
          <w:p>
            <w:pPr>
              <w:spacing w:after="0" w:before="0"/>
            </w:pPr>
            <w:r>
              <w:rPr>
                <w:b/>
                <w:bCs/>
                <w:color w:val="FFFFFF"/>
                <w:sz w:val="18"/>
                <w:szCs w:val="18"/>
              </w:rPr>
              <w:t xml:space="preserve">Acceptance criterion</w:t>
            </w:r>
          </w:p>
        </w:tc>
        <w:tc>
          <w:tcPr>
            <w:tcW w:type="dxa" w:w="1660"/>
            <w:shd w:fill="5B3A1E" w:color="auto" w:val="clear"/>
            <w:tcMar>
              <w:top w:type="dxa" w:w="70"/>
              <w:left w:type="dxa" w:w="110"/>
              <w:bottom w:type="dxa" w:w="70"/>
              <w:right w:type="dxa" w:w="110"/>
            </w:tcMar>
          </w:tcPr>
          <w:p>
            <w:pPr>
              <w:spacing w:after="0" w:before="0"/>
            </w:pPr>
            <w:r>
              <w:rPr>
                <w:b/>
                <w:bCs/>
                <w:color w:val="FFFFFF"/>
                <w:sz w:val="18"/>
                <w:szCs w:val="18"/>
              </w:rPr>
              <w:t xml:space="preserve">Source</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Establish which compressor oil the house air system uses, then verify residual oil content against the matching limit.</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Mineral oils (e.g. HLP to DIN 51524) or poly-alpha-olefins: max 5 mg/m³ residual oil — ISO 8573-1 Class 4. Bio-oils (synthetic or native ester, e.g. rapeseed oil methyl ester): max 0.1 mg/m³ — ISO 8573-1 Class 2.</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Festo general operating conditions</w:t>
            </w:r>
          </w:p>
        </w:tc>
      </w:tr>
      <w:tr>
        <w:tc>
          <w:tcPr>
            <w:tcW w:type="dxa" w:w="620"/>
            <w:shd w:fill="FAF5EE"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Confirm the air prep filter and regulator are serving this machine correctly; drain condensate.</w:t>
            </w:r>
          </w:p>
        </w:tc>
        <w:tc>
          <w:tcPr>
            <w:tcW w:type="dxa" w:w="362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No free water carried downstream. Note the WeighTech manual names "excessive water and condensation" as a leading cause of machine problems.</w:t>
            </w:r>
          </w:p>
        </w:tc>
        <w:tc>
          <w:tcPr>
            <w:tcW w:type="dxa" w:w="16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Festo; WeighTech §12.3 p. 28</w:t>
            </w:r>
          </w:p>
        </w:tc>
      </w:tr>
    </w:tbl>
    <w:p>
      <w:pPr>
        <w:spacing w:after="240"/>
      </w:pPr>
    </w:p>
    <w:p>
      <w:pPr>
        <w:pStyle w:val="Heading2"/>
        <w:spacing w:after="110" w:before="260"/>
      </w:pPr>
      <w:r>
        <w:rPr>
          <w:b/>
          <w:bCs/>
          <w:color w:val="5B3A1E"/>
          <w:sz w:val="23"/>
          <w:szCs w:val="23"/>
        </w:rPr>
        <w:t xml:space="preserve">N · Box-detect sensor pair (Banner T18-2)</w:t>
      </w:r>
    </w:p>
    <w:p>
      <w:pPr>
        <w:spacing w:after="140" w:before="0"/>
      </w:pPr>
      <w:r>
        <w:rPr>
          <w:i/>
          <w:iCs/>
          <w:color w:val="555555"/>
          <w:sz w:val="19"/>
          <w:szCs w:val="19"/>
        </w:rPr>
        <w:t xml:space="preserve">Emitter SE0066 (T18-2NAEL-Q8) and receiver SE0065 (T18-2VPRL-Q8), cordset SE0038 (MQDC-430RA). The T18-2 series is Banner's rugged washdown family, rated IP67 / IP68 / IP69K and −40 to +70 °C. The one genuinely relevant caution IS in the WeighTech manual and is repeated here because it belongs with the sensor work.</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2360"/>
        <w:gridCol w:w="2320"/>
        <w:gridCol w:w="2360"/>
        <w:gridCol w:w="2320"/>
      </w:tblGrid>
      <w:tr>
        <w:trPr>
          <w:tblHeader/>
        </w:trPr>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c>
          <w:tcPr>
            <w:tcW w:type="dxa" w:w="2360"/>
            <w:shd w:fill="1F3864" w:color="auto" w:val="clear"/>
            <w:tcMar>
              <w:top w:type="dxa" w:w="70"/>
              <w:left w:type="dxa" w:w="110"/>
              <w:bottom w:type="dxa" w:w="70"/>
              <w:right w:type="dxa" w:w="110"/>
            </w:tcMar>
          </w:tcPr>
          <w:p>
            <w:pPr>
              <w:spacing w:after="0" w:before="0"/>
            </w:pPr>
            <w:r>
              <w:rPr>
                <w:b/>
                <w:bCs/>
                <w:color w:val="FFFFFF"/>
                <w:sz w:val="18"/>
                <w:szCs w:val="18"/>
              </w:rPr>
              <w:t xml:space="preserve">Field</w:t>
            </w:r>
          </w:p>
        </w:tc>
        <w:tc>
          <w:tcPr>
            <w:tcW w:type="dxa" w:w="2320"/>
            <w:shd w:fill="1F3864" w:color="auto" w:val="clear"/>
            <w:tcMar>
              <w:top w:type="dxa" w:w="70"/>
              <w:left w:type="dxa" w:w="110"/>
              <w:bottom w:type="dxa" w:w="70"/>
              <w:right w:type="dxa" w:w="110"/>
            </w:tcMar>
          </w:tcPr>
          <w:p>
            <w:pPr>
              <w:spacing w:after="0" w:before="0"/>
            </w:pPr>
            <w:r>
              <w:rPr>
                <w:b/>
                <w:bCs/>
                <w:color w:val="FFFFFF"/>
                <w:sz w:val="18"/>
                <w:szCs w:val="18"/>
              </w:rPr>
              <w:t xml:space="preserve">Value</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PM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TRI-LAK-N</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Asset ID</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Frequency</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Craft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tcMar>
              <w:top w:type="dxa" w:w="70"/>
              <w:left w:type="dxa" w:w="110"/>
              <w:bottom w:type="dxa" w:w="70"/>
              <w:right w:type="dxa" w:w="110"/>
            </w:tcMar>
          </w:tcPr>
          <w:p>
            <w:pPr>
              <w:spacing w:after="0" w:before="0"/>
            </w:pPr>
            <w:r>
              <w:rPr>
                <w:b w:val="false"/>
                <w:bCs w:val="false"/>
                <w:color w:val="000000"/>
                <w:sz w:val="18"/>
                <w:szCs w:val="18"/>
              </w:rPr>
              <w:t xml:space="preserve">Est. hours</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c>
          <w:tcPr>
            <w:tcW w:type="dxa" w:w="2360"/>
            <w:tcMar>
              <w:top w:type="dxa" w:w="70"/>
              <w:left w:type="dxa" w:w="110"/>
              <w:bottom w:type="dxa" w:w="70"/>
              <w:right w:type="dxa" w:w="110"/>
            </w:tcMar>
          </w:tcPr>
          <w:p>
            <w:pPr>
              <w:spacing w:after="0" w:before="0"/>
            </w:pPr>
            <w:r>
              <w:rPr>
                <w:b w:val="false"/>
                <w:bCs w:val="false"/>
                <w:color w:val="000000"/>
                <w:sz w:val="18"/>
                <w:szCs w:val="18"/>
              </w:rPr>
              <w:t xml:space="preserve">Next due</w:t>
            </w:r>
          </w:p>
        </w:tc>
        <w:tc>
          <w:tcPr>
            <w:tcW w:type="dxa" w:w="2320"/>
            <w:tcMar>
              <w:top w:type="dxa" w:w="70"/>
              <w:left w:type="dxa" w:w="110"/>
              <w:bottom w:type="dxa" w:w="70"/>
              <w:right w:type="dxa" w:w="110"/>
            </w:tcMar>
          </w:tcPr>
          <w:p>
            <w:pPr>
              <w:spacing w:after="0" w:before="0"/>
            </w:pPr>
            <w:r>
              <w:rPr>
                <w:b w:val="false"/>
                <w:bCs w:val="false"/>
                <w:color w:val="000000"/>
                <w:sz w:val="18"/>
                <w:szCs w:val="18"/>
              </w:rPr>
              <w:t xml:space="preserve">_______________________</w:t>
            </w:r>
          </w:p>
        </w:tc>
      </w:tr>
      <w:tr>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Area</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B20 — LAKEVILLE</w:t>
            </w:r>
          </w:p>
        </w:tc>
        <w:tc>
          <w:tcPr>
            <w:tcW w:type="dxa" w:w="2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Department</w:t>
            </w:r>
          </w:p>
        </w:tc>
        <w:tc>
          <w:tcPr>
            <w:tcW w:type="dxa" w:w="232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7340 — Maintenance</w:t>
            </w:r>
          </w:p>
        </w:tc>
      </w:tr>
    </w:tbl>
    <w:p>
      <w:pPr>
        <w:spacing w:after="160"/>
      </w:pPr>
    </w:p>
    <w:tbl>
      <w:tblPr>
        <w:tblW w:type="dxa" w:w="9360"/>
        <w:tblBorders>
          <w:top w:val="single" w:color="A8845C" w:sz="4"/>
          <w:left w:val="single" w:color="A8845C" w:sz="4"/>
          <w:bottom w:val="single" w:color="A8845C" w:sz="4"/>
          <w:right w:val="single" w:color="A8845C" w:sz="4"/>
          <w:insideH w:val="single" w:color="A8845C" w:sz="2"/>
          <w:insideV w:val="single" w:color="A8845C" w:sz="2"/>
        </w:tblBorders>
      </w:tblPr>
      <w:tblGrid>
        <w:gridCol w:w="620"/>
        <w:gridCol w:w="3460"/>
        <w:gridCol w:w="3620"/>
        <w:gridCol w:w="1660"/>
      </w:tblGrid>
      <w:tr>
        <w:trPr>
          <w:tblHeader/>
        </w:trPr>
        <w:tc>
          <w:tcPr>
            <w:tcW w:type="dxa" w:w="620"/>
            <w:shd w:fill="5B3A1E" w:color="auto" w:val="clear"/>
            <w:tcMar>
              <w:top w:type="dxa" w:w="70"/>
              <w:left w:type="dxa" w:w="110"/>
              <w:bottom w:type="dxa" w:w="70"/>
              <w:right w:type="dxa" w:w="110"/>
            </w:tcMar>
          </w:tcPr>
          <w:p>
            <w:pPr>
              <w:spacing w:after="0" w:before="0"/>
            </w:pPr>
            <w:r>
              <w:rPr>
                <w:b/>
                <w:bCs/>
                <w:color w:val="FFFFFF"/>
                <w:sz w:val="18"/>
                <w:szCs w:val="18"/>
              </w:rPr>
              <w:t xml:space="preserve">Step</w:t>
            </w:r>
          </w:p>
        </w:tc>
        <w:tc>
          <w:tcPr>
            <w:tcW w:type="dxa" w:w="3460"/>
            <w:shd w:fill="5B3A1E" w:color="auto" w:val="clear"/>
            <w:tcMar>
              <w:top w:type="dxa" w:w="70"/>
              <w:left w:type="dxa" w:w="110"/>
              <w:bottom w:type="dxa" w:w="70"/>
              <w:right w:type="dxa" w:w="110"/>
            </w:tcMar>
          </w:tcPr>
          <w:p>
            <w:pPr>
              <w:spacing w:after="0" w:before="0"/>
            </w:pPr>
            <w:r>
              <w:rPr>
                <w:b/>
                <w:bCs/>
                <w:color w:val="FFFFFF"/>
                <w:sz w:val="18"/>
                <w:szCs w:val="18"/>
              </w:rPr>
              <w:t xml:space="preserve">Task</w:t>
            </w:r>
          </w:p>
        </w:tc>
        <w:tc>
          <w:tcPr>
            <w:tcW w:type="dxa" w:w="3620"/>
            <w:shd w:fill="5B3A1E" w:color="auto" w:val="clear"/>
            <w:tcMar>
              <w:top w:type="dxa" w:w="70"/>
              <w:left w:type="dxa" w:w="110"/>
              <w:bottom w:type="dxa" w:w="70"/>
              <w:right w:type="dxa" w:w="110"/>
            </w:tcMar>
          </w:tcPr>
          <w:p>
            <w:pPr>
              <w:spacing w:after="0" w:before="0"/>
            </w:pPr>
            <w:r>
              <w:rPr>
                <w:b/>
                <w:bCs/>
                <w:color w:val="FFFFFF"/>
                <w:sz w:val="18"/>
                <w:szCs w:val="18"/>
              </w:rPr>
              <w:t xml:space="preserve">Acceptance criterion</w:t>
            </w:r>
          </w:p>
        </w:tc>
        <w:tc>
          <w:tcPr>
            <w:tcW w:type="dxa" w:w="1660"/>
            <w:shd w:fill="5B3A1E" w:color="auto" w:val="clear"/>
            <w:tcMar>
              <w:top w:type="dxa" w:w="70"/>
              <w:left w:type="dxa" w:w="110"/>
              <w:bottom w:type="dxa" w:w="70"/>
              <w:right w:type="dxa" w:w="110"/>
            </w:tcMar>
          </w:tcPr>
          <w:p>
            <w:pPr>
              <w:spacing w:after="0" w:before="0"/>
            </w:pPr>
            <w:r>
              <w:rPr>
                <w:b/>
                <w:bCs/>
                <w:color w:val="FFFFFF"/>
                <w:sz w:val="18"/>
                <w:szCs w:val="18"/>
              </w:rPr>
              <w:t xml:space="preserve">Source</w:t>
            </w:r>
          </w:p>
        </w:tc>
      </w:tr>
      <w:tr>
        <w:tc>
          <w:tcPr>
            <w:tcW w:type="dxa" w:w="620"/>
            <w:tcMar>
              <w:top w:type="dxa" w:w="70"/>
              <w:left w:type="dxa" w:w="110"/>
              <w:bottom w:type="dxa" w:w="70"/>
              <w:right w:type="dxa" w:w="110"/>
            </w:tcMar>
          </w:tcPr>
          <w:p>
            <w:pPr>
              <w:spacing w:after="0" w:before="0"/>
            </w:pPr>
            <w:r>
              <w:rPr>
                <w:b/>
                <w:bCs/>
                <w:color w:val="000000"/>
                <w:sz w:val="18"/>
                <w:szCs w:val="18"/>
              </w:rPr>
              <w:t xml:space="preserve">1</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Clean the emitter and receiver lenses; confirm alignment across the full box path.</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Solid, repeatable detection. Confirm on the Opto live display in the I/O test menu.</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WeighTech §10.7 p. 22</w:t>
            </w:r>
          </w:p>
        </w:tc>
      </w:tr>
      <w:tr>
        <w:tc>
          <w:tcPr>
            <w:tcW w:type="dxa" w:w="620"/>
            <w:shd w:fill="FAF5EE"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34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Confirm the cordset connector and gland are dry and undamaged.</w:t>
            </w:r>
          </w:p>
        </w:tc>
        <w:tc>
          <w:tcPr>
            <w:tcW w:type="dxa" w:w="362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No moisture ingress at the connector.</w:t>
            </w:r>
          </w:p>
        </w:tc>
        <w:tc>
          <w:tcPr>
            <w:tcW w:type="dxa" w:w="1660"/>
            <w:shd w:fill="FAF5EE" w:color="auto" w:val="clear"/>
            <w:tcMar>
              <w:top w:type="dxa" w:w="70"/>
              <w:left w:type="dxa" w:w="110"/>
              <w:bottom w:type="dxa" w:w="70"/>
              <w:right w:type="dxa" w:w="110"/>
            </w:tcMar>
          </w:tcPr>
          <w:p>
            <w:pPr>
              <w:spacing w:after="0" w:before="0"/>
            </w:pPr>
            <w:r>
              <w:rPr>
                <w:b w:val="false"/>
                <w:bCs w:val="false"/>
                <w:color w:val="000000"/>
                <w:sz w:val="18"/>
                <w:szCs w:val="18"/>
              </w:rPr>
              <w:t xml:space="preserve">Banner T18-2 product data</w:t>
            </w:r>
          </w:p>
        </w:tc>
      </w:tr>
      <w:tr>
        <w:tc>
          <w:tcPr>
            <w:tcW w:type="dxa" w:w="620"/>
            <w:tcMar>
              <w:top w:type="dxa" w:w="70"/>
              <w:left w:type="dxa" w:w="110"/>
              <w:bottom w:type="dxa" w:w="70"/>
              <w:right w:type="dxa" w:w="110"/>
            </w:tcMar>
          </w:tcPr>
          <w:p>
            <w:pPr>
              <w:spacing w:after="0" w:before="0"/>
            </w:pPr>
            <w:r>
              <w:rPr>
                <w:b/>
                <w:bCs/>
                <w:color w:val="000000"/>
                <w:sz w:val="18"/>
                <w:szCs w:val="18"/>
              </w:rPr>
              <w:t xml:space="preserve">3</w:t>
            </w:r>
          </w:p>
        </w:tc>
        <w:tc>
          <w:tcPr>
            <w:tcW w:type="dxa" w:w="3460"/>
            <w:tcMar>
              <w:top w:type="dxa" w:w="70"/>
              <w:left w:type="dxa" w:w="110"/>
              <w:bottom w:type="dxa" w:w="70"/>
              <w:right w:type="dxa" w:w="110"/>
            </w:tcMar>
          </w:tcPr>
          <w:p>
            <w:pPr>
              <w:spacing w:after="0" w:before="0"/>
            </w:pPr>
            <w:r>
              <w:rPr>
                <w:b w:val="false"/>
                <w:bCs w:val="false"/>
                <w:color w:val="000000"/>
                <w:sz w:val="18"/>
                <w:szCs w:val="18"/>
              </w:rPr>
              <w:t xml:space="preserve">IF REWIRING A SENSOR WITH POWER ON: connect the brown wire (12 V) LAST.</w:t>
            </w:r>
          </w:p>
        </w:tc>
        <w:tc>
          <w:tcPr>
            <w:tcW w:type="dxa" w:w="3620"/>
            <w:tcMar>
              <w:top w:type="dxa" w:w="70"/>
              <w:left w:type="dxa" w:w="110"/>
              <w:bottom w:type="dxa" w:w="70"/>
              <w:right w:type="dxa" w:w="110"/>
            </w:tcMar>
          </w:tcPr>
          <w:p>
            <w:pPr>
              <w:spacing w:after="0" w:before="0"/>
            </w:pPr>
            <w:r>
              <w:rPr>
                <w:b w:val="false"/>
                <w:bCs w:val="false"/>
                <w:color w:val="000000"/>
                <w:sz w:val="18"/>
                <w:szCs w:val="18"/>
              </w:rPr>
              <w:t xml:space="preserve">WeighTech caution: if brown and blue are swapped, or the blue (ground) is connected last, the sensor goes into alarm mode — it will APPEAR to work, LEDs and all, but the MicroWeigh controller will not receive the correct signal.</w:t>
            </w:r>
          </w:p>
        </w:tc>
        <w:tc>
          <w:tcPr>
            <w:tcW w:type="dxa" w:w="1660"/>
            <w:tcMar>
              <w:top w:type="dxa" w:w="70"/>
              <w:left w:type="dxa" w:w="110"/>
              <w:bottom w:type="dxa" w:w="70"/>
              <w:right w:type="dxa" w:w="110"/>
            </w:tcMar>
          </w:tcPr>
          <w:p>
            <w:pPr>
              <w:spacing w:after="0" w:before="0"/>
            </w:pPr>
            <w:r>
              <w:rPr>
                <w:b w:val="false"/>
                <w:bCs w:val="false"/>
                <w:color w:val="000000"/>
                <w:sz w:val="18"/>
                <w:szCs w:val="18"/>
              </w:rPr>
              <w:t xml:space="preserve">WeighTech §12.2 p. 28</w:t>
            </w:r>
          </w:p>
        </w:tc>
      </w:tr>
    </w:tbl>
    <w:p>
      <w:r>
        <w:br w:type="page"/>
      </w:r>
    </w:p>
    <w:p>
      <w:pPr>
        <w:pStyle w:val="Heading1"/>
        <w:pBdr>
          <w:bottom w:val="single" w:color="8496B0" w:sz="6" w:space="6"/>
        </w:pBdr>
        <w:spacing w:after="160" w:before="320"/>
      </w:pPr>
      <w:r>
        <w:rPr>
          <w:b/>
          <w:bCs/>
          <w:color w:val="1F3864"/>
          <w:sz w:val="28"/>
          <w:szCs w:val="28"/>
        </w:rPr>
        <w:t xml:space="preserve">Attachment A — Indicator reading sheet</w:t>
      </w:r>
    </w:p>
    <w:p>
      <w:pPr>
        <w:spacing w:after="120" w:before="0"/>
      </w:pPr>
      <w:r>
        <w:rPr>
          <w:i/>
          <w:iCs/>
          <w:color w:val="555555"/>
          <w:sz w:val="19"/>
          <w:szCs w:val="19"/>
        </w:rPr>
        <w:t xml:space="preserve">For task group E. Record all three heads every time. Every value and limit in this table is from the WeighTech manual, §10.9 p. 23, §11.6 p. 27 and §12.1 p. 28.</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1360"/>
        <w:gridCol w:w="3100"/>
        <w:gridCol w:w="2900"/>
        <w:gridCol w:w="2000"/>
      </w:tblGrid>
      <w:tr>
        <w:trPr>
          <w:tblHeader/>
        </w:trPr>
        <w:tc>
          <w:tcPr>
            <w:tcW w:type="dxa" w:w="1360"/>
            <w:shd w:fill="1F3864" w:color="auto" w:val="clear"/>
            <w:tcMar>
              <w:top w:type="dxa" w:w="70"/>
              <w:left w:type="dxa" w:w="110"/>
              <w:bottom w:type="dxa" w:w="70"/>
              <w:right w:type="dxa" w:w="110"/>
            </w:tcMar>
          </w:tcPr>
          <w:p>
            <w:pPr>
              <w:spacing w:after="0" w:before="0"/>
            </w:pPr>
            <w:r>
              <w:rPr>
                <w:b/>
                <w:bCs/>
                <w:color w:val="FFFFFF"/>
                <w:sz w:val="18"/>
                <w:szCs w:val="18"/>
              </w:rPr>
              <w:t xml:space="preserve">Reading</w:t>
            </w:r>
          </w:p>
        </w:tc>
        <w:tc>
          <w:tcPr>
            <w:tcW w:type="dxa" w:w="3100"/>
            <w:shd w:fill="1F3864" w:color="auto" w:val="clear"/>
            <w:tcMar>
              <w:top w:type="dxa" w:w="70"/>
              <w:left w:type="dxa" w:w="110"/>
              <w:bottom w:type="dxa" w:w="70"/>
              <w:right w:type="dxa" w:w="110"/>
            </w:tcMar>
          </w:tcPr>
          <w:p>
            <w:pPr>
              <w:spacing w:after="0" w:before="0"/>
            </w:pPr>
            <w:r>
              <w:rPr>
                <w:b/>
                <w:bCs/>
                <w:color w:val="FFFFFF"/>
                <w:sz w:val="18"/>
                <w:szCs w:val="18"/>
              </w:rPr>
              <w:t xml:space="preserve">Limit stated in the manual</w:t>
            </w:r>
          </w:p>
        </w:tc>
        <w:tc>
          <w:tcPr>
            <w:tcW w:type="dxa" w:w="2900"/>
            <w:shd w:fill="1F3864" w:color="auto" w:val="clear"/>
            <w:tcMar>
              <w:top w:type="dxa" w:w="70"/>
              <w:left w:type="dxa" w:w="110"/>
              <w:bottom w:type="dxa" w:w="70"/>
              <w:right w:type="dxa" w:w="110"/>
            </w:tcMar>
          </w:tcPr>
          <w:p>
            <w:pPr>
              <w:spacing w:after="0" w:before="0"/>
            </w:pPr>
            <w:r>
              <w:rPr>
                <w:b/>
                <w:bCs/>
                <w:color w:val="FFFFFF"/>
                <w:sz w:val="18"/>
                <w:szCs w:val="18"/>
              </w:rPr>
              <w:t xml:space="preserve">What a drift indicates</w:t>
            </w:r>
          </w:p>
        </w:tc>
        <w:tc>
          <w:tcPr>
            <w:tcW w:type="dxa" w:w="2000"/>
            <w:shd w:fill="1F3864" w:color="auto" w:val="clear"/>
            <w:tcMar>
              <w:top w:type="dxa" w:w="70"/>
              <w:left w:type="dxa" w:w="110"/>
              <w:bottom w:type="dxa" w:w="70"/>
              <w:right w:type="dxa" w:w="110"/>
            </w:tcMar>
          </w:tcPr>
          <w:p>
            <w:pPr>
              <w:spacing w:after="0" w:before="0"/>
            </w:pPr>
            <w:r>
              <w:rPr>
                <w:b/>
                <w:bCs/>
                <w:color w:val="FFFFFF"/>
                <w:sz w:val="18"/>
                <w:szCs w:val="18"/>
              </w:rPr>
              <w:t xml:space="preserve">Master / Rmt 1 / Rmt 2</w:t>
            </w:r>
          </w:p>
        </w:tc>
      </w:tr>
      <w:tr>
        <w:tc>
          <w:tcPr>
            <w:tcW w:type="dxa" w:w="1360"/>
            <w:tcMar>
              <w:top w:type="dxa" w:w="70"/>
              <w:left w:type="dxa" w:w="110"/>
              <w:bottom w:type="dxa" w:w="70"/>
              <w:right w:type="dxa" w:w="110"/>
            </w:tcMar>
          </w:tcPr>
          <w:p>
            <w:pPr>
              <w:spacing w:after="0" w:before="0"/>
            </w:pPr>
            <w:r>
              <w:rPr>
                <w:b w:val="false"/>
                <w:bCs w:val="false"/>
                <w:color w:val="000000"/>
                <w:sz w:val="18"/>
                <w:szCs w:val="18"/>
              </w:rPr>
              <w:t xml:space="preserve">Excite</w:t>
            </w:r>
          </w:p>
        </w:tc>
        <w:tc>
          <w:tcPr>
            <w:tcW w:type="dxa" w:w="3100"/>
            <w:tcMar>
              <w:top w:type="dxa" w:w="70"/>
              <w:left w:type="dxa" w:w="110"/>
              <w:bottom w:type="dxa" w:w="70"/>
              <w:right w:type="dxa" w:w="110"/>
            </w:tcMar>
          </w:tcPr>
          <w:p>
            <w:pPr>
              <w:spacing w:after="0" w:before="0"/>
            </w:pPr>
            <w:r>
              <w:rPr>
                <w:b w:val="false"/>
                <w:bCs w:val="false"/>
                <w:color w:val="000000"/>
                <w:sz w:val="18"/>
                <w:szCs w:val="18"/>
              </w:rPr>
              <w:t xml:space="preserve">About 4.5 V</w:t>
            </w:r>
          </w:p>
        </w:tc>
        <w:tc>
          <w:tcPr>
            <w:tcW w:type="dxa" w:w="2900"/>
            <w:tcMar>
              <w:top w:type="dxa" w:w="70"/>
              <w:left w:type="dxa" w:w="110"/>
              <w:bottom w:type="dxa" w:w="70"/>
              <w:right w:type="dxa" w:w="110"/>
            </w:tcMar>
          </w:tcPr>
          <w:p>
            <w:pPr>
              <w:spacing w:after="0" w:before="0"/>
            </w:pPr>
            <w:r>
              <w:rPr>
                <w:b w:val="false"/>
                <w:bCs w:val="false"/>
                <w:color w:val="000000"/>
                <w:sz w:val="18"/>
                <w:szCs w:val="18"/>
              </w:rPr>
              <w:t xml:space="preserve">Below 1 V: probable short from excite to ground. Below 4.0 V blocks calibration ("Check excite").</w:t>
            </w:r>
          </w:p>
        </w:tc>
        <w:tc>
          <w:tcPr>
            <w:tcW w:type="dxa" w:w="20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S1+</w:t>
            </w:r>
          </w:p>
        </w:tc>
        <w:tc>
          <w:tcPr>
            <w:tcW w:type="dxa" w:w="31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About half of excite</w:t>
            </w:r>
          </w:p>
        </w:tc>
        <w:tc>
          <w:tcPr>
            <w:tcW w:type="dxa" w:w="29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Near zero or near 4 V: disconnected signal wire — check at the interface board.</w:t>
            </w:r>
          </w:p>
        </w:tc>
        <w:tc>
          <w:tcPr>
            <w:tcW w:type="dxa" w:w="20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tcMar>
              <w:top w:type="dxa" w:w="70"/>
              <w:left w:type="dxa" w:w="110"/>
              <w:bottom w:type="dxa" w:w="70"/>
              <w:right w:type="dxa" w:w="110"/>
            </w:tcMar>
          </w:tcPr>
          <w:p>
            <w:pPr>
              <w:spacing w:after="0" w:before="0"/>
            </w:pPr>
            <w:r>
              <w:rPr>
                <w:b w:val="false"/>
                <w:bCs w:val="false"/>
                <w:color w:val="000000"/>
                <w:sz w:val="18"/>
                <w:szCs w:val="18"/>
              </w:rPr>
              <w:t xml:space="preserve">S1−</w:t>
            </w:r>
          </w:p>
        </w:tc>
        <w:tc>
          <w:tcPr>
            <w:tcW w:type="dxa" w:w="3100"/>
            <w:tcMar>
              <w:top w:type="dxa" w:w="70"/>
              <w:left w:type="dxa" w:w="110"/>
              <w:bottom w:type="dxa" w:w="70"/>
              <w:right w:type="dxa" w:w="110"/>
            </w:tcMar>
          </w:tcPr>
          <w:p>
            <w:pPr>
              <w:spacing w:after="0" w:before="0"/>
            </w:pPr>
            <w:r>
              <w:rPr>
                <w:b w:val="false"/>
                <w:bCs w:val="false"/>
                <w:color w:val="000000"/>
                <w:sz w:val="18"/>
                <w:szCs w:val="18"/>
              </w:rPr>
              <w:t xml:space="preserve">Almost exactly the same as S1+</w:t>
            </w:r>
          </w:p>
        </w:tc>
        <w:tc>
          <w:tcPr>
            <w:tcW w:type="dxa" w:w="2900"/>
            <w:tcMar>
              <w:top w:type="dxa" w:w="70"/>
              <w:left w:type="dxa" w:w="110"/>
              <w:bottom w:type="dxa" w:w="70"/>
              <w:right w:type="dxa" w:w="110"/>
            </w:tcMar>
          </w:tcPr>
          <w:p>
            <w:pPr>
              <w:spacing w:after="0" w:before="0"/>
            </w:pPr>
            <w:r>
              <w:rPr>
                <w:b w:val="false"/>
                <w:bCs w:val="false"/>
                <w:color w:val="000000"/>
                <w:sz w:val="18"/>
                <w:szCs w:val="18"/>
              </w:rPr>
              <w:t xml:space="preserve">More than 0.5 V from S1+: miswired or bent load cell.</w:t>
            </w:r>
          </w:p>
        </w:tc>
        <w:tc>
          <w:tcPr>
            <w:tcW w:type="dxa" w:w="20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ADC</w:t>
            </w:r>
          </w:p>
        </w:tc>
        <w:tc>
          <w:tcPr>
            <w:tcW w:type="dxa" w:w="31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Varies no more than 100–300 counts when stable; within ±10,000 counts of zero at no load</w:t>
            </w:r>
          </w:p>
        </w:tc>
        <w:tc>
          <w:tcPr>
            <w:tcW w:type="dxa" w:w="29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Beyond ±1,000,000 counts with solid connections: probable bent load cell. Full scale is ±8 million.</w:t>
            </w:r>
          </w:p>
        </w:tc>
        <w:tc>
          <w:tcPr>
            <w:tcW w:type="dxa" w:w="20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tcMar>
              <w:top w:type="dxa" w:w="70"/>
              <w:left w:type="dxa" w:w="110"/>
              <w:bottom w:type="dxa" w:w="70"/>
              <w:right w:type="dxa" w:w="110"/>
            </w:tcMar>
          </w:tcPr>
          <w:p>
            <w:pPr>
              <w:spacing w:after="0" w:before="0"/>
            </w:pPr>
            <w:r>
              <w:rPr>
                <w:b w:val="false"/>
                <w:bCs w:val="false"/>
                <w:color w:val="000000"/>
                <w:sz w:val="18"/>
                <w:szCs w:val="18"/>
              </w:rPr>
              <w:t xml:space="preserve">Offset</w:t>
            </w:r>
          </w:p>
        </w:tc>
        <w:tc>
          <w:tcPr>
            <w:tcW w:type="dxa" w:w="3100"/>
            <w:tcMar>
              <w:top w:type="dxa" w:w="70"/>
              <w:left w:type="dxa" w:w="110"/>
              <w:bottom w:type="dxa" w:w="70"/>
              <w:right w:type="dxa" w:w="110"/>
            </w:tcMar>
          </w:tcPr>
          <w:p>
            <w:pPr>
              <w:spacing w:after="0" w:before="0"/>
            </w:pPr>
            <w:r>
              <w:rPr>
                <w:b w:val="false"/>
                <w:bCs w:val="false"/>
                <w:color w:val="000000"/>
                <w:sz w:val="18"/>
                <w:szCs w:val="18"/>
              </w:rPr>
              <w:t xml:space="preserve">Updates during autozero</w:t>
            </w:r>
          </w:p>
        </w:tc>
        <w:tc>
          <w:tcPr>
            <w:tcW w:type="dxa" w:w="2900"/>
            <w:tcMar>
              <w:top w:type="dxa" w:w="70"/>
              <w:left w:type="dxa" w:w="110"/>
              <w:bottom w:type="dxa" w:w="70"/>
              <w:right w:type="dxa" w:w="110"/>
            </w:tcMar>
          </w:tcPr>
          <w:p>
            <w:pPr>
              <w:spacing w:after="0" w:before="0"/>
            </w:pPr>
            <w:r>
              <w:rPr>
                <w:b w:val="false"/>
                <w:bCs w:val="false"/>
                <w:color w:val="000000"/>
                <w:sz w:val="18"/>
                <w:szCs w:val="18"/>
              </w:rPr>
              <w:t xml:space="preserve">Calibration zero offset in raw counts.</w:t>
            </w:r>
          </w:p>
        </w:tc>
        <w:tc>
          <w:tcPr>
            <w:tcW w:type="dxa" w:w="20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Deadload</w:t>
            </w:r>
          </w:p>
        </w:tc>
        <w:tc>
          <w:tcPr>
            <w:tcW w:type="dxa" w:w="31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Approximation only</w:t>
            </w:r>
          </w:p>
        </w:tc>
        <w:tc>
          <w:tcPr>
            <w:tcW w:type="dxa" w:w="29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Platform deadload, assuming the cell outputs zero counts at no load.</w:t>
            </w:r>
          </w:p>
        </w:tc>
        <w:tc>
          <w:tcPr>
            <w:tcW w:type="dxa" w:w="20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tcMar>
              <w:top w:type="dxa" w:w="70"/>
              <w:left w:type="dxa" w:w="110"/>
              <w:bottom w:type="dxa" w:w="70"/>
              <w:right w:type="dxa" w:w="110"/>
            </w:tcMar>
          </w:tcPr>
          <w:p>
            <w:pPr>
              <w:spacing w:after="0" w:before="0"/>
            </w:pPr>
            <w:r>
              <w:rPr>
                <w:b w:val="false"/>
                <w:bCs w:val="false"/>
                <w:color w:val="000000"/>
                <w:sz w:val="18"/>
                <w:szCs w:val="18"/>
              </w:rPr>
              <w:t xml:space="preserve">Batt</w:t>
            </w:r>
          </w:p>
        </w:tc>
        <w:tc>
          <w:tcPr>
            <w:tcW w:type="dxa" w:w="3100"/>
            <w:tcMar>
              <w:top w:type="dxa" w:w="70"/>
              <w:left w:type="dxa" w:w="110"/>
              <w:bottom w:type="dxa" w:w="70"/>
              <w:right w:type="dxa" w:w="110"/>
            </w:tcMar>
          </w:tcPr>
          <w:p>
            <w:pPr>
              <w:spacing w:after="0" w:before="0"/>
            </w:pPr>
            <w:r>
              <w:rPr>
                <w:b w:val="false"/>
                <w:bCs w:val="false"/>
                <w:color w:val="000000"/>
                <w:sz w:val="18"/>
                <w:szCs w:val="18"/>
              </w:rPr>
              <w:t xml:space="preserve">Generally 6 to 8 volts</w:t>
            </w:r>
          </w:p>
        </w:tc>
        <w:tc>
          <w:tcPr>
            <w:tcW w:type="dxa" w:w="2900"/>
            <w:tcMar>
              <w:top w:type="dxa" w:w="70"/>
              <w:left w:type="dxa" w:w="110"/>
              <w:bottom w:type="dxa" w:w="70"/>
              <w:right w:type="dxa" w:w="110"/>
            </w:tcMar>
          </w:tcPr>
          <w:p>
            <w:pPr>
              <w:spacing w:after="0" w:before="0"/>
            </w:pPr>
            <w:r>
              <w:rPr>
                <w:b w:val="false"/>
                <w:bCs w:val="false"/>
                <w:color w:val="000000"/>
                <w:sz w:val="18"/>
                <w:szCs w:val="18"/>
              </w:rPr>
              <w:t xml:space="preserve">Power supply / battery input voltage.</w:t>
            </w:r>
          </w:p>
        </w:tc>
        <w:tc>
          <w:tcPr>
            <w:tcW w:type="dxa" w:w="20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Stbl err</w:t>
            </w:r>
          </w:p>
        </w:tc>
        <w:tc>
          <w:tcPr>
            <w:tcW w:type="dxa" w:w="31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Record and trend</w:t>
            </w:r>
          </w:p>
        </w:tc>
        <w:tc>
          <w:tcPr>
            <w:tcW w:type="dxa" w:w="29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Times a weigh hopper did not stabilize before the timeout aborted it.</w:t>
            </w:r>
          </w:p>
        </w:tc>
        <w:tc>
          <w:tcPr>
            <w:tcW w:type="dxa" w:w="20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tcMar>
              <w:top w:type="dxa" w:w="70"/>
              <w:left w:type="dxa" w:w="110"/>
              <w:bottom w:type="dxa" w:w="70"/>
              <w:right w:type="dxa" w:w="110"/>
            </w:tcMar>
          </w:tcPr>
          <w:p>
            <w:pPr>
              <w:spacing w:after="0" w:before="0"/>
            </w:pPr>
            <w:r>
              <w:rPr>
                <w:b w:val="false"/>
                <w:bCs w:val="false"/>
                <w:color w:val="000000"/>
                <w:sz w:val="18"/>
                <w:szCs w:val="18"/>
              </w:rPr>
              <w:t xml:space="preserve">Dump err</w:t>
            </w:r>
          </w:p>
        </w:tc>
        <w:tc>
          <w:tcPr>
            <w:tcW w:type="dxa" w:w="3100"/>
            <w:tcMar>
              <w:top w:type="dxa" w:w="70"/>
              <w:left w:type="dxa" w:w="110"/>
              <w:bottom w:type="dxa" w:w="70"/>
              <w:right w:type="dxa" w:w="110"/>
            </w:tcMar>
          </w:tcPr>
          <w:p>
            <w:pPr>
              <w:spacing w:after="0" w:before="0"/>
            </w:pPr>
            <w:r>
              <w:rPr>
                <w:b w:val="false"/>
                <w:bCs w:val="false"/>
                <w:color w:val="000000"/>
                <w:sz w:val="18"/>
                <w:szCs w:val="18"/>
              </w:rPr>
              <w:t xml:space="preserve">Record and trend</w:t>
            </w:r>
          </w:p>
        </w:tc>
        <w:tc>
          <w:tcPr>
            <w:tcW w:type="dxa" w:w="2900"/>
            <w:tcMar>
              <w:top w:type="dxa" w:w="70"/>
              <w:left w:type="dxa" w:w="110"/>
              <w:bottom w:type="dxa" w:w="70"/>
              <w:right w:type="dxa" w:w="110"/>
            </w:tcMar>
          </w:tcPr>
          <w:p>
            <w:pPr>
              <w:spacing w:after="0" w:before="0"/>
            </w:pPr>
            <w:r>
              <w:rPr>
                <w:b w:val="false"/>
                <w:bCs w:val="false"/>
                <w:color w:val="000000"/>
                <w:sz w:val="18"/>
                <w:szCs w:val="18"/>
              </w:rPr>
              <w:t xml:space="preserve">Times a weigh hopper did not empty out.</w:t>
            </w:r>
          </w:p>
        </w:tc>
        <w:tc>
          <w:tcPr>
            <w:tcW w:type="dxa" w:w="20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Audit cfg</w:t>
            </w:r>
          </w:p>
        </w:tc>
        <w:tc>
          <w:tcPr>
            <w:tcW w:type="dxa" w:w="31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Unchanged unless a work order explains it</w:t>
            </w:r>
          </w:p>
        </w:tc>
        <w:tc>
          <w:tcPr>
            <w:tcW w:type="dxa" w:w="29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Increments on every sealed parameter change. Nonvolatile.</w:t>
            </w:r>
          </w:p>
        </w:tc>
        <w:tc>
          <w:tcPr>
            <w:tcW w:type="dxa" w:w="20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tcMar>
              <w:top w:type="dxa" w:w="70"/>
              <w:left w:type="dxa" w:w="110"/>
              <w:bottom w:type="dxa" w:w="70"/>
              <w:right w:type="dxa" w:w="110"/>
            </w:tcMar>
          </w:tcPr>
          <w:p>
            <w:pPr>
              <w:spacing w:after="0" w:before="0"/>
            </w:pPr>
            <w:r>
              <w:rPr>
                <w:b w:val="false"/>
                <w:bCs w:val="false"/>
                <w:color w:val="000000"/>
                <w:sz w:val="18"/>
                <w:szCs w:val="18"/>
              </w:rPr>
              <w:t xml:space="preserve">Audit cal</w:t>
            </w:r>
          </w:p>
        </w:tc>
        <w:tc>
          <w:tcPr>
            <w:tcW w:type="dxa" w:w="3100"/>
            <w:tcMar>
              <w:top w:type="dxa" w:w="70"/>
              <w:left w:type="dxa" w:w="110"/>
              <w:bottom w:type="dxa" w:w="70"/>
              <w:right w:type="dxa" w:w="110"/>
            </w:tcMar>
          </w:tcPr>
          <w:p>
            <w:pPr>
              <w:spacing w:after="0" w:before="0"/>
            </w:pPr>
            <w:r>
              <w:rPr>
                <w:b w:val="false"/>
                <w:bCs w:val="false"/>
                <w:color w:val="000000"/>
                <w:sz w:val="18"/>
                <w:szCs w:val="18"/>
              </w:rPr>
              <w:t xml:space="preserve">Unchanged unless a work order explains it</w:t>
            </w:r>
          </w:p>
        </w:tc>
        <w:tc>
          <w:tcPr>
            <w:tcW w:type="dxa" w:w="2900"/>
            <w:tcMar>
              <w:top w:type="dxa" w:w="70"/>
              <w:left w:type="dxa" w:w="110"/>
              <w:bottom w:type="dxa" w:w="70"/>
              <w:right w:type="dxa" w:w="110"/>
            </w:tcMar>
          </w:tcPr>
          <w:p>
            <w:pPr>
              <w:spacing w:after="0" w:before="0"/>
            </w:pPr>
            <w:r>
              <w:rPr>
                <w:b w:val="false"/>
                <w:bCs w:val="false"/>
                <w:color w:val="000000"/>
                <w:sz w:val="18"/>
                <w:szCs w:val="18"/>
              </w:rPr>
              <w:t xml:space="preserve">Increments on every calibration. Nonvolatile.</w:t>
            </w:r>
          </w:p>
        </w:tc>
        <w:tc>
          <w:tcPr>
            <w:tcW w:type="dxa" w:w="20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485 crc / 485 err</w:t>
            </w:r>
          </w:p>
        </w:tc>
        <w:tc>
          <w:tcPr>
            <w:tcW w:type="dxa" w:w="31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Record and trend</w:t>
            </w:r>
          </w:p>
        </w:tc>
        <w:tc>
          <w:tcPr>
            <w:tcW w:type="dxa" w:w="29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Corrupted commands / corrupt bytes received on the RS-485 link.</w:t>
            </w:r>
          </w:p>
        </w:tc>
        <w:tc>
          <w:tcPr>
            <w:tcW w:type="dxa" w:w="20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bl>
    <w:p>
      <w:r>
        <w:br w:type="page"/>
      </w:r>
    </w:p>
    <w:p>
      <w:pPr>
        <w:pStyle w:val="Heading1"/>
        <w:pBdr>
          <w:bottom w:val="single" w:color="8496B0" w:sz="6" w:space="6"/>
        </w:pBdr>
        <w:spacing w:after="160" w:before="320"/>
      </w:pPr>
      <w:r>
        <w:rPr>
          <w:b/>
          <w:bCs/>
          <w:color w:val="1F3864"/>
          <w:sz w:val="28"/>
          <w:szCs w:val="28"/>
        </w:rPr>
        <w:t xml:space="preserve">Attachment B — Drive reading sheet</w:t>
      </w:r>
    </w:p>
    <w:p>
      <w:pPr>
        <w:spacing w:after="120" w:before="0"/>
      </w:pPr>
      <w:r>
        <w:rPr>
          <w:i/>
          <w:iCs/>
          <w:color w:val="555555"/>
          <w:sz w:val="19"/>
          <w:szCs w:val="19"/>
        </w:rPr>
        <w:t xml:space="preserve">For task group L. The "As-built" column is transcribed from the parameter listings printed in the WeighTech manual — §13 pp. 31–34 (Infeed) and §14 pp. 35–38 (Box Takeaway). Those listings are the golden record for these drives: read the live value and compare.</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880"/>
        <w:gridCol w:w="2680"/>
        <w:gridCol w:w="1700"/>
        <w:gridCol w:w="1700"/>
        <w:gridCol w:w="2400"/>
      </w:tblGrid>
      <w:tr>
        <w:trPr>
          <w:tblHeader/>
        </w:trPr>
        <w:tc>
          <w:tcPr>
            <w:tcW w:type="dxa" w:w="880"/>
            <w:shd w:fill="1F3864" w:color="auto" w:val="clear"/>
            <w:tcMar>
              <w:top w:type="dxa" w:w="70"/>
              <w:left w:type="dxa" w:w="110"/>
              <w:bottom w:type="dxa" w:w="70"/>
              <w:right w:type="dxa" w:w="110"/>
            </w:tcMar>
          </w:tcPr>
          <w:p>
            <w:pPr>
              <w:spacing w:after="0" w:before="0"/>
            </w:pPr>
            <w:r>
              <w:rPr>
                <w:b/>
                <w:bCs/>
                <w:color w:val="FFFFFF"/>
                <w:sz w:val="18"/>
                <w:szCs w:val="18"/>
              </w:rPr>
              <w:t xml:space="preserve">Param</w:t>
            </w:r>
          </w:p>
        </w:tc>
        <w:tc>
          <w:tcPr>
            <w:tcW w:type="dxa" w:w="2680"/>
            <w:shd w:fill="1F3864" w:color="auto" w:val="clear"/>
            <w:tcMar>
              <w:top w:type="dxa" w:w="70"/>
              <w:left w:type="dxa" w:w="110"/>
              <w:bottom w:type="dxa" w:w="70"/>
              <w:right w:type="dxa" w:w="110"/>
            </w:tcMar>
          </w:tcPr>
          <w:p>
            <w:pPr>
              <w:spacing w:after="0" w:before="0"/>
            </w:pPr>
            <w:r>
              <w:rPr>
                <w:b/>
                <w:bCs/>
                <w:color w:val="FFFFFF"/>
                <w:sz w:val="18"/>
                <w:szCs w:val="18"/>
              </w:rPr>
              <w:t xml:space="preserve">Parameter</w:t>
            </w:r>
          </w:p>
        </w:tc>
        <w:tc>
          <w:tcPr>
            <w:tcW w:type="dxa" w:w="1700"/>
            <w:shd w:fill="1F3864" w:color="auto" w:val="clear"/>
            <w:tcMar>
              <w:top w:type="dxa" w:w="70"/>
              <w:left w:type="dxa" w:w="110"/>
              <w:bottom w:type="dxa" w:w="70"/>
              <w:right w:type="dxa" w:w="110"/>
            </w:tcMar>
          </w:tcPr>
          <w:p>
            <w:pPr>
              <w:spacing w:after="0" w:before="0"/>
            </w:pPr>
            <w:r>
              <w:rPr>
                <w:b/>
                <w:bCs/>
                <w:color w:val="FFFFFF"/>
                <w:sz w:val="18"/>
                <w:szCs w:val="18"/>
              </w:rPr>
              <w:t xml:space="preserve">As-built: Infeed</w:t>
            </w:r>
          </w:p>
        </w:tc>
        <w:tc>
          <w:tcPr>
            <w:tcW w:type="dxa" w:w="1700"/>
            <w:shd w:fill="1F3864" w:color="auto" w:val="clear"/>
            <w:tcMar>
              <w:top w:type="dxa" w:w="70"/>
              <w:left w:type="dxa" w:w="110"/>
              <w:bottom w:type="dxa" w:w="70"/>
              <w:right w:type="dxa" w:w="110"/>
            </w:tcMar>
          </w:tcPr>
          <w:p>
            <w:pPr>
              <w:spacing w:after="0" w:before="0"/>
            </w:pPr>
            <w:r>
              <w:rPr>
                <w:b/>
                <w:bCs/>
                <w:color w:val="FFFFFF"/>
                <w:sz w:val="18"/>
                <w:szCs w:val="18"/>
              </w:rPr>
              <w:t xml:space="preserve">As-built: Takeaway</w:t>
            </w:r>
          </w:p>
        </w:tc>
        <w:tc>
          <w:tcPr>
            <w:tcW w:type="dxa" w:w="2400"/>
            <w:shd w:fill="1F3864" w:color="auto" w:val="clear"/>
            <w:tcMar>
              <w:top w:type="dxa" w:w="70"/>
              <w:left w:type="dxa" w:w="110"/>
              <w:bottom w:type="dxa" w:w="70"/>
              <w:right w:type="dxa" w:w="110"/>
            </w:tcMar>
          </w:tcPr>
          <w:p>
            <w:pPr>
              <w:spacing w:after="0" w:before="0"/>
            </w:pPr>
            <w:r>
              <w:rPr>
                <w:b/>
                <w:bCs/>
                <w:color w:val="FFFFFF"/>
                <w:sz w:val="18"/>
                <w:szCs w:val="18"/>
              </w:rPr>
              <w:t xml:space="preserve">Reading today</w:t>
            </w:r>
          </w:p>
        </w:tc>
      </w:tr>
      <w:tr>
        <w:tc>
          <w:tcPr>
            <w:tcW w:type="dxa" w:w="880"/>
            <w:tcMar>
              <w:top w:type="dxa" w:w="70"/>
              <w:left w:type="dxa" w:w="110"/>
              <w:bottom w:type="dxa" w:w="70"/>
              <w:right w:type="dxa" w:w="110"/>
            </w:tcMar>
          </w:tcPr>
          <w:p>
            <w:pPr>
              <w:spacing w:after="0" w:before="0"/>
            </w:pPr>
            <w:r>
              <w:rPr>
                <w:b/>
                <w:bCs/>
                <w:color w:val="000000"/>
                <w:sz w:val="18"/>
                <w:szCs w:val="18"/>
              </w:rPr>
              <w:t xml:space="preserve">P0-09</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Heatsink temperature</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22 C</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23 C</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P0-10</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Run time since date of manufacture</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0:00:01</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0:00:01</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P0-13</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Trip log (4 deep)</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No Fault ×4</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No Fault ×4</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P0-20</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Internal drive temperature</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35 C</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36 C</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P0-23</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Accum. time heatsink &gt; 85 C</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0:00:00</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0:00:00</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P0-24</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Accum. time internal &gt; 80 C</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0:00:00</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0:00:00</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P0-26</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kWh / MWh meter</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0.0 kWh</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0.0 kWh</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P0-27</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Total run time of drive fans</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0:00:18</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0:00:22</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P0-28</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Software version and checksum</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I/O V3.11 72B9 · Power V3.11 0E61</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I/O V3.11 72B9 · Power V3.11 0E61</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P0-29</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Drive type identifier</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E3 · 460V 3~ 1.0HP · fw 3.11</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E3 · 460V 3~ 2.0HP · fw 3.11</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P0-30</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Drive serial number</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649453 / 18 / 057</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654310 / 24 / 083</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P0-33</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Critical fault counter — O-I</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P0-34</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Critical fault counter — O-Volts</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P0-35</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Critical fault counter — U-Volts</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P0-36</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Critical fault counter — O-temp (heatsink)</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P0-37</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Critical fault counter — b O-I (chopper)</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P0-38</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Critical fault counter — O-hEAt (control)</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0</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shd w:fill="F2F5F9" w:color="auto" w:val="clear"/>
            <w:tcMar>
              <w:top w:type="dxa" w:w="70"/>
              <w:left w:type="dxa" w:w="110"/>
              <w:bottom w:type="dxa" w:w="70"/>
              <w:right w:type="dxa" w:w="110"/>
            </w:tcMar>
          </w:tcPr>
          <w:p>
            <w:pPr>
              <w:spacing w:after="0" w:before="0"/>
            </w:pPr>
            <w:r>
              <w:rPr>
                <w:b/>
                <w:bCs/>
                <w:color w:val="000000"/>
                <w:sz w:val="18"/>
                <w:szCs w:val="18"/>
              </w:rPr>
              <w:t xml:space="preserve">P0-39</w:t>
            </w:r>
          </w:p>
        </w:tc>
        <w:tc>
          <w:tcPr>
            <w:tcW w:type="dxa" w:w="268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Modbus comms error counter</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4</w:t>
            </w:r>
          </w:p>
        </w:tc>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4</w:t>
            </w:r>
          </w:p>
        </w:tc>
        <w:tc>
          <w:tcPr>
            <w:tcW w:type="dxa" w:w="24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880"/>
            <w:tcMar>
              <w:top w:type="dxa" w:w="70"/>
              <w:left w:type="dxa" w:w="110"/>
              <w:bottom w:type="dxa" w:w="70"/>
              <w:right w:type="dxa" w:w="110"/>
            </w:tcMar>
          </w:tcPr>
          <w:p>
            <w:pPr>
              <w:spacing w:after="0" w:before="0"/>
            </w:pPr>
            <w:r>
              <w:rPr>
                <w:b/>
                <w:bCs/>
                <w:color w:val="000000"/>
                <w:sz w:val="18"/>
                <w:szCs w:val="18"/>
              </w:rPr>
              <w:t xml:space="preserve">P0-40</w:t>
            </w:r>
          </w:p>
        </w:tc>
        <w:tc>
          <w:tcPr>
            <w:tcW w:type="dxa" w:w="2680"/>
            <w:tcMar>
              <w:top w:type="dxa" w:w="70"/>
              <w:left w:type="dxa" w:w="110"/>
              <w:bottom w:type="dxa" w:w="70"/>
              <w:right w:type="dxa" w:w="110"/>
            </w:tcMar>
          </w:tcPr>
          <w:p>
            <w:pPr>
              <w:spacing w:after="0" w:before="0"/>
            </w:pPr>
            <w:r>
              <w:rPr>
                <w:b w:val="false"/>
                <w:bCs w:val="false"/>
                <w:color w:val="000000"/>
                <w:sz w:val="18"/>
                <w:szCs w:val="18"/>
              </w:rPr>
              <w:t xml:space="preserve">CANbus comms error counter</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255</w:t>
            </w:r>
          </w:p>
        </w:tc>
        <w:tc>
          <w:tcPr>
            <w:tcW w:type="dxa" w:w="1700"/>
            <w:tcMar>
              <w:top w:type="dxa" w:w="70"/>
              <w:left w:type="dxa" w:w="110"/>
              <w:bottom w:type="dxa" w:w="70"/>
              <w:right w:type="dxa" w:w="110"/>
            </w:tcMar>
          </w:tcPr>
          <w:p>
            <w:pPr>
              <w:spacing w:after="0" w:before="0"/>
            </w:pPr>
            <w:r>
              <w:rPr>
                <w:b w:val="false"/>
                <w:bCs w:val="false"/>
                <w:color w:val="000000"/>
                <w:sz w:val="18"/>
                <w:szCs w:val="18"/>
              </w:rPr>
              <w:t xml:space="preserve">255</w:t>
            </w:r>
          </w:p>
        </w:tc>
        <w:tc>
          <w:tcPr>
            <w:tcW w:type="dxa" w:w="2400"/>
            <w:tcMar>
              <w:top w:type="dxa" w:w="70"/>
              <w:left w:type="dxa" w:w="110"/>
              <w:bottom w:type="dxa" w:w="70"/>
              <w:right w:type="dxa" w:w="110"/>
            </w:tcMar>
          </w:tcPr>
          <w:p>
            <w:pPr>
              <w:spacing w:after="0" w:before="0"/>
            </w:pPr>
            <w:r>
              <w:rPr>
                <w:b w:val="false"/>
                <w:bCs w:val="false"/>
                <w:color w:val="000000"/>
                <w:sz w:val="18"/>
                <w:szCs w:val="18"/>
              </w:rPr>
              <w:t xml:space="preserve"/>
            </w:r>
          </w:p>
        </w:tc>
      </w:tr>
    </w:tbl>
    <w:p>
      <w:pPr>
        <w:spacing w:after="120"/>
      </w:pPr>
    </w:p>
    <w:p>
      <w:pPr>
        <w:spacing w:after="120" w:before="0"/>
      </w:pPr>
      <w:r>
        <w:rPr>
          <w:i/>
          <w:iCs/>
          <w:color w:val="555555"/>
          <w:sz w:val="18"/>
          <w:szCs w:val="18"/>
        </w:rPr>
        <w:t xml:space="preserve">Note: P0-10 reads 0:00:01 in the as-built listing because the drives had not yet run when the manual was produced. Today's value is the real run time.</w:t>
      </w:r>
    </w:p>
    <w:p>
      <w:r>
        <w:br w:type="page"/>
      </w:r>
    </w:p>
    <w:p>
      <w:pPr>
        <w:pStyle w:val="Heading1"/>
        <w:pBdr>
          <w:bottom w:val="single" w:color="8496B0" w:sz="6" w:space="6"/>
        </w:pBdr>
        <w:spacing w:after="160" w:before="320"/>
      </w:pPr>
      <w:r>
        <w:rPr>
          <w:b/>
          <w:bCs/>
          <w:color w:val="1F3864"/>
          <w:sz w:val="28"/>
          <w:szCs w:val="28"/>
        </w:rPr>
        <w:t xml:space="preserve">Attachment C — Replacement parts</w:t>
      </w:r>
    </w:p>
    <w:p>
      <w:pPr>
        <w:spacing w:after="120" w:before="0"/>
      </w:pPr>
      <w:r>
        <w:rPr>
          <w:i/>
          <w:iCs/>
          <w:color w:val="555555"/>
          <w:sz w:val="19"/>
          <w:szCs w:val="19"/>
        </w:rPr>
        <w:t xml:space="preserve">Transcribed from the manual's replacement parts list, §15 p. 39. Order through WeighTech (1-800-457-3720). Charge to account 57040 — Equipment R&amp;M, Area B20, Dept 7340. This is the manual's full list; min/max levels are a site decision.</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1700"/>
        <w:gridCol w:w="5360"/>
        <w:gridCol w:w="2300"/>
      </w:tblGrid>
      <w:tr>
        <w:trPr>
          <w:tblHeader/>
        </w:trPr>
        <w:tc>
          <w:tcPr>
            <w:tcW w:type="dxa" w:w="1700"/>
            <w:shd w:fill="1F3864" w:color="auto" w:val="clear"/>
            <w:tcMar>
              <w:top w:type="dxa" w:w="70"/>
              <w:left w:type="dxa" w:w="110"/>
              <w:bottom w:type="dxa" w:w="70"/>
              <w:right w:type="dxa" w:w="110"/>
            </w:tcMar>
          </w:tcPr>
          <w:p>
            <w:pPr>
              <w:spacing w:after="0" w:before="0"/>
            </w:pPr>
            <w:r>
              <w:rPr>
                <w:b/>
                <w:bCs/>
                <w:color w:val="FFFFFF"/>
                <w:sz w:val="18"/>
                <w:szCs w:val="18"/>
              </w:rPr>
              <w:t xml:space="preserve">Part number</w:t>
            </w:r>
          </w:p>
        </w:tc>
        <w:tc>
          <w:tcPr>
            <w:tcW w:type="dxa" w:w="5360"/>
            <w:shd w:fill="1F3864" w:color="auto" w:val="clear"/>
            <w:tcMar>
              <w:top w:type="dxa" w:w="70"/>
              <w:left w:type="dxa" w:w="110"/>
              <w:bottom w:type="dxa" w:w="70"/>
              <w:right w:type="dxa" w:w="110"/>
            </w:tcMar>
          </w:tcPr>
          <w:p>
            <w:pPr>
              <w:spacing w:after="0" w:before="0"/>
            </w:pPr>
            <w:r>
              <w:rPr>
                <w:b/>
                <w:bCs/>
                <w:color w:val="FFFFFF"/>
                <w:sz w:val="18"/>
                <w:szCs w:val="18"/>
              </w:rPr>
              <w:t xml:space="preserve">Description (as printed in the manual)</w:t>
            </w:r>
          </w:p>
        </w:tc>
        <w:tc>
          <w:tcPr>
            <w:tcW w:type="dxa" w:w="2300"/>
            <w:shd w:fill="1F3864" w:color="auto" w:val="clear"/>
            <w:tcMar>
              <w:top w:type="dxa" w:w="70"/>
              <w:left w:type="dxa" w:w="110"/>
              <w:bottom w:type="dxa" w:w="70"/>
              <w:right w:type="dxa" w:w="110"/>
            </w:tcMar>
          </w:tcPr>
          <w:p>
            <w:pPr>
              <w:spacing w:after="0" w:before="0"/>
            </w:pPr>
            <w:r>
              <w:rPr>
                <w:b/>
                <w:bCs/>
                <w:color w:val="FFFFFF"/>
                <w:sz w:val="18"/>
                <w:szCs w:val="18"/>
              </w:rPr>
              <w:t xml:space="preserve">Min / max</w:t>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1000-10</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Load cell, 200 lb capacity</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10575</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Motor, PM (index, buffer)</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11377</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Sprocket, stainless steel, 12T (index, buffer)</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AA0005</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Flow control, GR-QS-6 (inline)</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AA0006</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Air tubing, duo blue/black, 6 mm x 50 m</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AA0009</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Air regulator</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AA0026</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Rod clevis, M10 x 1.25 mm, stainless steel</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AC0001</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Air cylinder, weigh hoppers</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AC0002</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Air cylinder, diverter (25-150)</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AF0001 / AF0006 / AF0018</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Air fittings QS-1/8-6, QSL-1/8-6, QSL-6 (packs of 10)</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AV0044</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Air valve and coil assembly (Festo)</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AV0045</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DIN plug, air valve assembly (Festo)</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AV0046</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LED gasket, air valve assembly (Festo)</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AV0047 / AV0048</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Substation / end plate kit, air valve assembly (Festo)</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CB0060</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Belting, series 800, flattop, 16" wide (buffer)</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CB0117</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Sprocket, 800 Series, 7.7 PD, 12T, 1.5" square bore</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CB0126</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Belting, series 800, 16" wide, special flight arrangement</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EF0009</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Strain relief, MicroWeigh</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EP0028 / EP0029</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Variable speed drive, 460 VAC, 1 HP / 2 HP (ODE3)</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HW0018 / HW0019</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MicroWeigh housing screws (packs of 4 / 10)</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SE0038</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Cord set, right angle connector (MQDC-430RA)</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SE0065 / SE0066</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Photo electric receiver / emitter (T18-2VPRL-Q8 / T18-2NAEL-Q8)</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SR0001 / SR0002 / SR0003</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Input relay G4-IDC5 (white) / output G4-OAC5 (black) / output G4-ODC5 (red)</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SS0006</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Stop switch assembly w/ contacts</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SS0020 / SS0024</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Pushbutton, momentary, green / red (10250T30G / 10250T30R)</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WE0028</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Main gasket, MicroWeigh</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WE0029-1</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Power cord, detachable, MicroWeigh</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WE0046-101 / WE0047-101/-102</w:t>
            </w:r>
          </w:p>
        </w:tc>
        <w:tc>
          <w:tcPr>
            <w:tcW w:type="dxa" w:w="53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MicroWeigh front / back housing assemblies</w:t>
            </w:r>
          </w:p>
        </w:tc>
        <w:tc>
          <w:tcPr>
            <w:tcW w:type="dxa" w:w="2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
            </w:r>
          </w:p>
        </w:tc>
      </w:tr>
      <w:tr>
        <w:tc>
          <w:tcPr>
            <w:tcW w:type="dxa" w:w="1700"/>
            <w:tcMar>
              <w:top w:type="dxa" w:w="70"/>
              <w:left w:type="dxa" w:w="110"/>
              <w:bottom w:type="dxa" w:w="70"/>
              <w:right w:type="dxa" w:w="110"/>
            </w:tcMar>
          </w:tcPr>
          <w:p>
            <w:pPr>
              <w:spacing w:after="0" w:before="0"/>
            </w:pPr>
            <w:r>
              <w:rPr>
                <w:b w:val="false"/>
                <w:bCs w:val="false"/>
                <w:color w:val="000000"/>
                <w:sz w:val="18"/>
                <w:szCs w:val="18"/>
              </w:rPr>
              <w:t xml:space="preserve">WE0076-101</w:t>
            </w:r>
          </w:p>
        </w:tc>
        <w:tc>
          <w:tcPr>
            <w:tcW w:type="dxa" w:w="5360"/>
            <w:tcMar>
              <w:top w:type="dxa" w:w="70"/>
              <w:left w:type="dxa" w:w="110"/>
              <w:bottom w:type="dxa" w:w="70"/>
              <w:right w:type="dxa" w:w="110"/>
            </w:tcMar>
          </w:tcPr>
          <w:p>
            <w:pPr>
              <w:spacing w:after="0" w:before="0"/>
            </w:pPr>
            <w:r>
              <w:rPr>
                <w:b w:val="false"/>
                <w:bCs w:val="false"/>
                <w:color w:val="000000"/>
                <w:sz w:val="18"/>
                <w:szCs w:val="18"/>
              </w:rPr>
              <w:t xml:space="preserve">Machine control interface board assembly, MicroWeigh</w:t>
            </w:r>
          </w:p>
        </w:tc>
        <w:tc>
          <w:tcPr>
            <w:tcW w:type="dxa" w:w="2300"/>
            <w:tcMar>
              <w:top w:type="dxa" w:w="70"/>
              <w:left w:type="dxa" w:w="110"/>
              <w:bottom w:type="dxa" w:w="70"/>
              <w:right w:type="dxa" w:w="110"/>
            </w:tcMar>
          </w:tcPr>
          <w:p>
            <w:pPr>
              <w:spacing w:after="0" w:before="0"/>
            </w:pPr>
            <w:r>
              <w:rPr>
                <w:b w:val="false"/>
                <w:bCs w:val="false"/>
                <w:color w:val="000000"/>
                <w:sz w:val="18"/>
                <w:szCs w:val="18"/>
              </w:rPr>
              <w:t xml:space="preserve"/>
            </w:r>
          </w:p>
        </w:tc>
      </w:tr>
    </w:tbl>
    <w:p>
      <w:r>
        <w:br w:type="page"/>
      </w:r>
    </w:p>
    <w:p>
      <w:pPr>
        <w:pStyle w:val="Heading1"/>
        <w:pBdr>
          <w:bottom w:val="single" w:color="8496B0" w:sz="6" w:space="6"/>
        </w:pBdr>
        <w:spacing w:after="160" w:before="320"/>
      </w:pPr>
      <w:r>
        <w:rPr>
          <w:b/>
          <w:bCs/>
          <w:color w:val="1F3864"/>
          <w:sz w:val="28"/>
          <w:szCs w:val="28"/>
        </w:rPr>
        <w:t xml:space="preserve">Open items</w:t>
      </w:r>
    </w:p>
    <w:p>
      <w:pPr>
        <w:spacing w:after="120" w:before="0"/>
      </w:pPr>
      <w:r>
        <w:rPr>
          <w:i/>
          <w:iCs/>
          <w:color w:val="555555"/>
          <w:sz w:val="19"/>
          <w:szCs w:val="19"/>
        </w:rPr>
        <w:t xml:space="preserve">None of these blocks entering the task groups into Aptean as drafts. All should be closed before the records are activated.</w:t>
      </w:r>
    </w:p>
    <w:tbl>
      <w:tblPr>
        <w:tblW w:type="dxa" w:w="9360"/>
        <w:tblBorders>
          <w:top w:val="single" w:color="8496B0" w:sz="4"/>
          <w:left w:val="single" w:color="8496B0" w:sz="4"/>
          <w:bottom w:val="single" w:color="8496B0" w:sz="4"/>
          <w:right w:val="single" w:color="8496B0" w:sz="4"/>
          <w:insideH w:val="single" w:color="8496B0" w:sz="2"/>
          <w:insideV w:val="single" w:color="8496B0" w:sz="2"/>
        </w:tblBorders>
      </w:tblPr>
      <w:tblGrid>
        <w:gridCol w:w="500"/>
        <w:gridCol w:w="4300"/>
        <w:gridCol w:w="4560"/>
      </w:tblGrid>
      <w:tr>
        <w:trPr>
          <w:tblHeader/>
        </w:trPr>
        <w:tc>
          <w:tcPr>
            <w:tcW w:type="dxa" w:w="500"/>
            <w:shd w:fill="1F3864" w:color="auto" w:val="clear"/>
            <w:tcMar>
              <w:top w:type="dxa" w:w="70"/>
              <w:left w:type="dxa" w:w="110"/>
              <w:bottom w:type="dxa" w:w="70"/>
              <w:right w:type="dxa" w:w="110"/>
            </w:tcMar>
          </w:tcPr>
          <w:p>
            <w:pPr>
              <w:spacing w:after="0" w:before="0"/>
            </w:pPr>
            <w:r>
              <w:rPr>
                <w:b/>
                <w:bCs/>
                <w:color w:val="FFFFFF"/>
                <w:sz w:val="18"/>
                <w:szCs w:val="18"/>
              </w:rPr>
              <w:t xml:space="preserve">#</w:t>
            </w:r>
          </w:p>
        </w:tc>
        <w:tc>
          <w:tcPr>
            <w:tcW w:type="dxa" w:w="4300"/>
            <w:shd w:fill="1F3864" w:color="auto" w:val="clear"/>
            <w:tcMar>
              <w:top w:type="dxa" w:w="70"/>
              <w:left w:type="dxa" w:w="110"/>
              <w:bottom w:type="dxa" w:w="70"/>
              <w:right w:type="dxa" w:w="110"/>
            </w:tcMar>
          </w:tcPr>
          <w:p>
            <w:pPr>
              <w:spacing w:after="0" w:before="0"/>
            </w:pPr>
            <w:r>
              <w:rPr>
                <w:b/>
                <w:bCs/>
                <w:color w:val="FFFFFF"/>
                <w:sz w:val="18"/>
                <w:szCs w:val="18"/>
              </w:rPr>
              <w:t xml:space="preserve">Open item</w:t>
            </w:r>
          </w:p>
        </w:tc>
        <w:tc>
          <w:tcPr>
            <w:tcW w:type="dxa" w:w="4560"/>
            <w:shd w:fill="1F3864" w:color="auto" w:val="clear"/>
            <w:tcMar>
              <w:top w:type="dxa" w:w="70"/>
              <w:left w:type="dxa" w:w="110"/>
              <w:bottom w:type="dxa" w:w="70"/>
              <w:right w:type="dxa" w:w="110"/>
            </w:tcMar>
          </w:tcPr>
          <w:p>
            <w:pPr>
              <w:spacing w:after="0" w:before="0"/>
            </w:pPr>
            <w:r>
              <w:rPr>
                <w:b/>
                <w:bCs/>
                <w:color w:val="FFFFFF"/>
                <w:sz w:val="18"/>
                <w:szCs w:val="18"/>
              </w:rPr>
              <w:t xml:space="preserve">What it affects</w:t>
            </w:r>
          </w:p>
        </w:tc>
      </w:tr>
      <w:tr>
        <w:tc>
          <w:tcPr>
            <w:tcW w:type="dxa" w:w="500"/>
            <w:tcMar>
              <w:top w:type="dxa" w:w="70"/>
              <w:left w:type="dxa" w:w="110"/>
              <w:bottom w:type="dxa" w:w="70"/>
              <w:right w:type="dxa" w:w="110"/>
            </w:tcMar>
          </w:tcPr>
          <w:p>
            <w:pPr>
              <w:spacing w:after="0" w:before="0"/>
            </w:pPr>
            <w:r>
              <w:rPr>
                <w:b/>
                <w:bCs/>
                <w:color w:val="000000"/>
                <w:sz w:val="18"/>
                <w:szCs w:val="18"/>
              </w:rPr>
              <w:t xml:space="preserve">1</w:t>
            </w:r>
          </w:p>
        </w:tc>
        <w:tc>
          <w:tcPr>
            <w:tcW w:type="dxa" w:w="4300"/>
            <w:tcMar>
              <w:top w:type="dxa" w:w="70"/>
              <w:left w:type="dxa" w:w="110"/>
              <w:bottom w:type="dxa" w:w="70"/>
              <w:right w:type="dxa" w:w="110"/>
            </w:tcMar>
          </w:tcPr>
          <w:p>
            <w:pPr>
              <w:spacing w:after="0" w:before="0"/>
            </w:pPr>
            <w:r>
              <w:rPr>
                <w:b w:val="false"/>
                <w:bCs w:val="false"/>
                <w:color w:val="000000"/>
                <w:sz w:val="18"/>
                <w:szCs w:val="18"/>
              </w:rPr>
              <w:t xml:space="preserve">Assign a frequency, craft and estimated hours to each of groups A–K (and L–N if Part 2 is accepted).</w:t>
            </w:r>
          </w:p>
        </w:tc>
        <w:tc>
          <w:tcPr>
            <w:tcW w:type="dxa" w:w="4560"/>
            <w:tcMar>
              <w:top w:type="dxa" w:w="70"/>
              <w:left w:type="dxa" w:w="110"/>
              <w:bottom w:type="dxa" w:w="70"/>
              <w:right w:type="dxa" w:w="110"/>
            </w:tcMar>
          </w:tcPr>
          <w:p>
            <w:pPr>
              <w:spacing w:after="0" w:before="0"/>
            </w:pPr>
            <w:r>
              <w:rPr>
                <w:b w:val="false"/>
                <w:bCs w:val="false"/>
                <w:color w:val="000000"/>
                <w:sz w:val="18"/>
                <w:szCs w:val="18"/>
              </w:rPr>
              <w:t xml:space="preserve">Every task group. The manual specifies none, so this is entirely a Buddy's Kitchen decision.</w:t>
            </w:r>
          </w:p>
        </w:tc>
      </w:tr>
      <w:tr>
        <w:tc>
          <w:tcPr>
            <w:tcW w:type="dxa" w:w="500"/>
            <w:shd w:fill="F2F5F9" w:color="auto" w:val="clear"/>
            <w:tcMar>
              <w:top w:type="dxa" w:w="70"/>
              <w:left w:type="dxa" w:w="110"/>
              <w:bottom w:type="dxa" w:w="70"/>
              <w:right w:type="dxa" w:w="110"/>
            </w:tcMar>
          </w:tcPr>
          <w:p>
            <w:pPr>
              <w:spacing w:after="0" w:before="0"/>
            </w:pPr>
            <w:r>
              <w:rPr>
                <w:b/>
                <w:bCs/>
                <w:color w:val="000000"/>
                <w:sz w:val="18"/>
                <w:szCs w:val="18"/>
              </w:rPr>
              <w:t xml:space="preserve">2</w:t>
            </w:r>
          </w:p>
        </w:tc>
        <w:tc>
          <w:tcPr>
            <w:tcW w:type="dxa" w:w="4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Ask WeighTech for a recommended calibration interval and an air-prep specification.</w:t>
            </w:r>
          </w:p>
        </w:tc>
        <w:tc>
          <w:tcPr>
            <w:tcW w:type="dxa" w:w="45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Group G has a full procedure but no interval. Group M has no pressure setpoint to check against. WeighTech publishes no PM schedule, but should have an opinion on these two.</w:t>
            </w:r>
          </w:p>
        </w:tc>
      </w:tr>
      <w:tr>
        <w:tc>
          <w:tcPr>
            <w:tcW w:type="dxa" w:w="500"/>
            <w:tcMar>
              <w:top w:type="dxa" w:w="70"/>
              <w:left w:type="dxa" w:w="110"/>
              <w:bottom w:type="dxa" w:w="70"/>
              <w:right w:type="dxa" w:w="110"/>
            </w:tcMar>
          </w:tcPr>
          <w:p>
            <w:pPr>
              <w:spacing w:after="0" w:before="0"/>
            </w:pPr>
            <w:r>
              <w:rPr>
                <w:b/>
                <w:bCs/>
                <w:color w:val="000000"/>
                <w:sz w:val="18"/>
                <w:szCs w:val="18"/>
              </w:rPr>
              <w:t xml:space="preserve">3</w:t>
            </w:r>
          </w:p>
        </w:tc>
        <w:tc>
          <w:tcPr>
            <w:tcW w:type="dxa" w:w="4300"/>
            <w:tcMar>
              <w:top w:type="dxa" w:w="70"/>
              <w:left w:type="dxa" w:w="110"/>
              <w:bottom w:type="dxa" w:w="70"/>
              <w:right w:type="dxa" w:w="110"/>
            </w:tcMar>
          </w:tcPr>
          <w:p>
            <w:pPr>
              <w:spacing w:after="0" w:before="0"/>
            </w:pPr>
            <w:r>
              <w:rPr>
                <w:b w:val="false"/>
                <w:bCs w:val="false"/>
                <w:color w:val="000000"/>
                <w:sz w:val="18"/>
                <w:szCs w:val="18"/>
              </w:rPr>
              <w:t xml:space="preserve">Confirm whether certified test weights are on site and what the site accuracy tolerance is.</w:t>
            </w:r>
          </w:p>
        </w:tc>
        <w:tc>
          <w:tcPr>
            <w:tcW w:type="dxa" w:w="4560"/>
            <w:tcMar>
              <w:top w:type="dxa" w:w="70"/>
              <w:left w:type="dxa" w:w="110"/>
              <w:bottom w:type="dxa" w:w="70"/>
              <w:right w:type="dxa" w:w="110"/>
            </w:tcMar>
          </w:tcPr>
          <w:p>
            <w:pPr>
              <w:spacing w:after="0" w:before="0"/>
            </w:pPr>
            <w:r>
              <w:rPr>
                <w:b w:val="false"/>
                <w:bCs w:val="false"/>
                <w:color w:val="000000"/>
                <w:sz w:val="18"/>
                <w:szCs w:val="18"/>
              </w:rPr>
              <w:t xml:space="preserve">Groups F and G. The manual expects 1, 2, 5 or 10 lb weights.</w:t>
            </w:r>
          </w:p>
        </w:tc>
      </w:tr>
      <w:tr>
        <w:tc>
          <w:tcPr>
            <w:tcW w:type="dxa" w:w="500"/>
            <w:shd w:fill="F2F5F9" w:color="auto" w:val="clear"/>
            <w:tcMar>
              <w:top w:type="dxa" w:w="70"/>
              <w:left w:type="dxa" w:w="110"/>
              <w:bottom w:type="dxa" w:w="70"/>
              <w:right w:type="dxa" w:w="110"/>
            </w:tcMar>
          </w:tcPr>
          <w:p>
            <w:pPr>
              <w:spacing w:after="0" w:before="0"/>
            </w:pPr>
            <w:r>
              <w:rPr>
                <w:b/>
                <w:bCs/>
                <w:color w:val="000000"/>
                <w:sz w:val="18"/>
                <w:szCs w:val="18"/>
              </w:rPr>
              <w:t xml:space="preserve">4</w:t>
            </w:r>
          </w:p>
        </w:tc>
        <w:tc>
          <w:tcPr>
            <w:tcW w:type="dxa" w:w="4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Confirm whether this scale is sealed for trade.</w:t>
            </w:r>
          </w:p>
        </w:tc>
        <w:tc>
          <w:tcPr>
            <w:tcW w:type="dxa" w:w="45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Whether groups G and H need the site PVR / seal check.</w:t>
            </w:r>
          </w:p>
        </w:tc>
      </w:tr>
      <w:tr>
        <w:tc>
          <w:tcPr>
            <w:tcW w:type="dxa" w:w="500"/>
            <w:tcMar>
              <w:top w:type="dxa" w:w="70"/>
              <w:left w:type="dxa" w:w="110"/>
              <w:bottom w:type="dxa" w:w="70"/>
              <w:right w:type="dxa" w:w="110"/>
            </w:tcMar>
          </w:tcPr>
          <w:p>
            <w:pPr>
              <w:spacing w:after="0" w:before="0"/>
            </w:pPr>
            <w:r>
              <w:rPr>
                <w:b/>
                <w:bCs/>
                <w:color w:val="000000"/>
                <w:sz w:val="18"/>
                <w:szCs w:val="18"/>
              </w:rPr>
              <w:t xml:space="preserve">5</w:t>
            </w:r>
          </w:p>
        </w:tc>
        <w:tc>
          <w:tcPr>
            <w:tcW w:type="dxa" w:w="4300"/>
            <w:tcMar>
              <w:top w:type="dxa" w:w="70"/>
              <w:left w:type="dxa" w:w="110"/>
              <w:bottom w:type="dxa" w:w="70"/>
              <w:right w:type="dxa" w:w="110"/>
            </w:tcMar>
          </w:tcPr>
          <w:p>
            <w:pPr>
              <w:spacing w:after="0" w:before="0"/>
            </w:pPr>
            <w:r>
              <w:rPr>
                <w:b w:val="false"/>
                <w:bCs w:val="false"/>
                <w:color w:val="000000"/>
                <w:sz w:val="18"/>
                <w:szCs w:val="18"/>
              </w:rPr>
              <w:t xml:space="preserve">Record the three indicator serial numbers from the front panels.</w:t>
            </w:r>
          </w:p>
        </w:tc>
        <w:tc>
          <w:tcPr>
            <w:tcW w:type="dxa" w:w="4560"/>
            <w:tcMar>
              <w:top w:type="dxa" w:w="70"/>
              <w:left w:type="dxa" w:w="110"/>
              <w:bottom w:type="dxa" w:w="70"/>
              <w:right w:type="dxa" w:w="110"/>
            </w:tcMar>
          </w:tcPr>
          <w:p>
            <w:pPr>
              <w:spacing w:after="0" w:before="0"/>
            </w:pPr>
            <w:r>
              <w:rPr>
                <w:b w:val="false"/>
                <w:bCs w:val="false"/>
                <w:color w:val="000000"/>
                <w:sz w:val="18"/>
                <w:szCs w:val="18"/>
              </w:rPr>
              <w:t xml:space="preserve">Group K step 2, and the asset record. A WeighTech support call stalls without one.</w:t>
            </w:r>
          </w:p>
        </w:tc>
      </w:tr>
      <w:tr>
        <w:tc>
          <w:tcPr>
            <w:tcW w:type="dxa" w:w="500"/>
            <w:shd w:fill="F2F5F9" w:color="auto" w:val="clear"/>
            <w:tcMar>
              <w:top w:type="dxa" w:w="70"/>
              <w:left w:type="dxa" w:w="110"/>
              <w:bottom w:type="dxa" w:w="70"/>
              <w:right w:type="dxa" w:w="110"/>
            </w:tcMar>
          </w:tcPr>
          <w:p>
            <w:pPr>
              <w:spacing w:after="0" w:before="0"/>
            </w:pPr>
            <w:r>
              <w:rPr>
                <w:b/>
                <w:bCs/>
                <w:color w:val="000000"/>
                <w:sz w:val="18"/>
                <w:szCs w:val="18"/>
              </w:rPr>
              <w:t xml:space="preserve">6</w:t>
            </w:r>
          </w:p>
        </w:tc>
        <w:tc>
          <w:tcPr>
            <w:tcW w:type="dxa" w:w="4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Confirm the drive IP rating (IP20 in a cabinet, or IP66 / NEMA 4X).</w:t>
            </w:r>
          </w:p>
        </w:tc>
        <w:tc>
          <w:tcPr>
            <w:tcW w:type="dxa" w:w="45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Group L step 1 — sets which ambient limit applies, 50 °C or 40 °C.</w:t>
            </w:r>
          </w:p>
        </w:tc>
      </w:tr>
      <w:tr>
        <w:tc>
          <w:tcPr>
            <w:tcW w:type="dxa" w:w="500"/>
            <w:tcMar>
              <w:top w:type="dxa" w:w="70"/>
              <w:left w:type="dxa" w:w="110"/>
              <w:bottom w:type="dxa" w:w="70"/>
              <w:right w:type="dxa" w:w="110"/>
            </w:tcMar>
          </w:tcPr>
          <w:p>
            <w:pPr>
              <w:spacing w:after="0" w:before="0"/>
            </w:pPr>
            <w:r>
              <w:rPr>
                <w:b/>
                <w:bCs/>
                <w:color w:val="000000"/>
                <w:sz w:val="18"/>
                <w:szCs w:val="18"/>
              </w:rPr>
              <w:t xml:space="preserve">7</w:t>
            </w:r>
          </w:p>
        </w:tc>
        <w:tc>
          <w:tcPr>
            <w:tcW w:type="dxa" w:w="4300"/>
            <w:tcMar>
              <w:top w:type="dxa" w:w="70"/>
              <w:left w:type="dxa" w:w="110"/>
              <w:bottom w:type="dxa" w:w="70"/>
              <w:right w:type="dxa" w:w="110"/>
            </w:tcMar>
          </w:tcPr>
          <w:p>
            <w:pPr>
              <w:spacing w:after="0" w:before="0"/>
            </w:pPr>
            <w:r>
              <w:rPr>
                <w:b w:val="false"/>
                <w:bCs w:val="false"/>
                <w:color w:val="000000"/>
                <w:sz w:val="18"/>
                <w:szCs w:val="18"/>
              </w:rPr>
              <w:t xml:space="preserve">Confirm the Indexer setting in use at the master: air clutch, stop gate, or Starflex coordination.</w:t>
            </w:r>
          </w:p>
        </w:tc>
        <w:tc>
          <w:tcPr>
            <w:tcW w:type="dxa" w:w="4560"/>
            <w:tcMar>
              <w:top w:type="dxa" w:w="70"/>
              <w:left w:type="dxa" w:w="110"/>
              <w:bottom w:type="dxa" w:w="70"/>
              <w:right w:type="dxa" w:w="110"/>
            </w:tcMar>
          </w:tcPr>
          <w:p>
            <w:pPr>
              <w:spacing w:after="0" w:before="0"/>
            </w:pPr>
            <w:r>
              <w:rPr>
                <w:b w:val="false"/>
                <w:bCs w:val="false"/>
                <w:color w:val="000000"/>
                <w:sz w:val="18"/>
                <w:szCs w:val="18"/>
              </w:rPr>
              <w:t xml:space="preserve">Group D and group J. The as-built drive is labelled BOX TAKEAWAY at 12 Hz max, which reads like clutch or motor drive rather than Starflex.</w:t>
            </w:r>
          </w:p>
        </w:tc>
      </w:tr>
      <w:tr>
        <w:tc>
          <w:tcPr>
            <w:tcW w:type="dxa" w:w="500"/>
            <w:shd w:fill="F2F5F9" w:color="auto" w:val="clear"/>
            <w:tcMar>
              <w:top w:type="dxa" w:w="70"/>
              <w:left w:type="dxa" w:w="110"/>
              <w:bottom w:type="dxa" w:w="70"/>
              <w:right w:type="dxa" w:w="110"/>
            </w:tcMar>
          </w:tcPr>
          <w:p>
            <w:pPr>
              <w:spacing w:after="0" w:before="0"/>
            </w:pPr>
            <w:r>
              <w:rPr>
                <w:b/>
                <w:bCs/>
                <w:color w:val="000000"/>
                <w:sz w:val="18"/>
                <w:szCs w:val="18"/>
              </w:rPr>
              <w:t xml:space="preserve">8</w:t>
            </w:r>
          </w:p>
        </w:tc>
        <w:tc>
          <w:tcPr>
            <w:tcW w:type="dxa" w:w="4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Confirm whether the optional downstream jam opto is fitted at Remote 2 / M6.</w:t>
            </w:r>
          </w:p>
        </w:tc>
        <w:tc>
          <w:tcPr>
            <w:tcW w:type="dxa" w:w="45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The as-built module table shows M6 empty, so probably not. If fitted, add it to groups D and N.</w:t>
            </w:r>
          </w:p>
        </w:tc>
      </w:tr>
      <w:tr>
        <w:tc>
          <w:tcPr>
            <w:tcW w:type="dxa" w:w="500"/>
            <w:tcMar>
              <w:top w:type="dxa" w:w="70"/>
              <w:left w:type="dxa" w:w="110"/>
              <w:bottom w:type="dxa" w:w="70"/>
              <w:right w:type="dxa" w:w="110"/>
            </w:tcMar>
          </w:tcPr>
          <w:p>
            <w:pPr>
              <w:spacing w:after="0" w:before="0"/>
            </w:pPr>
            <w:r>
              <w:rPr>
                <w:b/>
                <w:bCs/>
                <w:color w:val="000000"/>
                <w:sz w:val="18"/>
                <w:szCs w:val="18"/>
              </w:rPr>
              <w:t xml:space="preserve">9</w:t>
            </w:r>
          </w:p>
        </w:tc>
        <w:tc>
          <w:tcPr>
            <w:tcW w:type="dxa" w:w="4300"/>
            <w:tcMar>
              <w:top w:type="dxa" w:w="70"/>
              <w:left w:type="dxa" w:w="110"/>
              <w:bottom w:type="dxa" w:w="70"/>
              <w:right w:type="dxa" w:w="110"/>
            </w:tcMar>
          </w:tcPr>
          <w:p>
            <w:pPr>
              <w:spacing w:after="0" w:before="0"/>
            </w:pPr>
            <w:r>
              <w:rPr>
                <w:b w:val="false"/>
                <w:bCs w:val="false"/>
                <w:color w:val="000000"/>
                <w:sz w:val="18"/>
                <w:szCs w:val="18"/>
              </w:rPr>
              <w:t xml:space="preserve">Confirm whether the claw option or box stop is fitted.</w:t>
            </w:r>
          </w:p>
        </w:tc>
        <w:tc>
          <w:tcPr>
            <w:tcW w:type="dxa" w:w="4560"/>
            <w:tcMar>
              <w:top w:type="dxa" w:w="70"/>
              <w:left w:type="dxa" w:w="110"/>
              <w:bottom w:type="dxa" w:w="70"/>
              <w:right w:type="dxa" w:w="110"/>
            </w:tcMar>
          </w:tcPr>
          <w:p>
            <w:pPr>
              <w:spacing w:after="0" w:before="0"/>
            </w:pPr>
            <w:r>
              <w:rPr>
                <w:b w:val="false"/>
                <w:bCs w:val="false"/>
                <w:color w:val="000000"/>
                <w:sz w:val="18"/>
                <w:szCs w:val="18"/>
              </w:rPr>
              <w:t xml:space="preserve">The manual describes a Claw delay timer. If fitted, neither is covered by any group above.</w:t>
            </w:r>
          </w:p>
        </w:tc>
      </w:tr>
      <w:tr>
        <w:tc>
          <w:tcPr>
            <w:tcW w:type="dxa" w:w="500"/>
            <w:shd w:fill="F2F5F9" w:color="auto" w:val="clear"/>
            <w:tcMar>
              <w:top w:type="dxa" w:w="70"/>
              <w:left w:type="dxa" w:w="110"/>
              <w:bottom w:type="dxa" w:w="70"/>
              <w:right w:type="dxa" w:w="110"/>
            </w:tcMar>
          </w:tcPr>
          <w:p>
            <w:pPr>
              <w:spacing w:after="0" w:before="0"/>
            </w:pPr>
            <w:r>
              <w:rPr>
                <w:b/>
                <w:bCs/>
                <w:color w:val="000000"/>
                <w:sz w:val="18"/>
                <w:szCs w:val="18"/>
              </w:rPr>
              <w:t xml:space="preserve">10</w:t>
            </w:r>
          </w:p>
        </w:tc>
        <w:tc>
          <w:tcPr>
            <w:tcW w:type="dxa" w:w="430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Decide whether Part 2 is accepted as scope.</w:t>
            </w:r>
          </w:p>
        </w:tc>
        <w:tc>
          <w:tcPr>
            <w:tcW w:type="dxa" w:w="4560"/>
            <w:shd w:fill="F2F5F9" w:color="auto" w:val="clear"/>
            <w:tcMar>
              <w:top w:type="dxa" w:w="70"/>
              <w:left w:type="dxa" w:w="110"/>
              <w:bottom w:type="dxa" w:w="70"/>
              <w:right w:type="dxa" w:w="110"/>
            </w:tcMar>
          </w:tcPr>
          <w:p>
            <w:pPr>
              <w:spacing w:after="0" w:before="0"/>
            </w:pPr>
            <w:r>
              <w:rPr>
                <w:b w:val="false"/>
                <w:bCs w:val="false"/>
                <w:color w:val="000000"/>
                <w:sz w:val="18"/>
                <w:szCs w:val="18"/>
              </w:rPr>
              <w:t xml:space="preserve">Groups L, M and N. They are real manufacturer requirements but are not WeighTech's, and are not currently anyone's responsibility.</w:t>
            </w:r>
          </w:p>
        </w:tc>
      </w:tr>
    </w:tbl>
    <w:p>
      <w:pPr>
        <w:spacing w:after="260"/>
      </w:pPr>
    </w:p>
    <w:p>
      <w:pPr>
        <w:pStyle w:val="Heading2"/>
        <w:spacing w:after="110" w:before="260"/>
      </w:pPr>
      <w:r>
        <w:rPr>
          <w:b/>
          <w:bCs/>
          <w:color w:val="1F3864"/>
          <w:sz w:val="23"/>
          <w:szCs w:val="23"/>
        </w:rPr>
        <w:t xml:space="preserve">Sources</w:t>
      </w:r>
    </w:p>
    <w:p>
      <w:pPr>
        <w:pStyle w:val="ListParagraph"/>
        <w:numPr>
          <w:ilvl w:val="0"/>
          <w:numId w:val="2"/>
        </w:numPr>
        <w:spacing w:after="70"/>
      </w:pPr>
      <w:r>
        <w:rPr>
          <w:sz w:val="20"/>
          <w:szCs w:val="20"/>
        </w:rPr>
        <w:t xml:space="preserve">Part 1 — WeighTech, Inc., MicroWeigh Triple Indexer manual, Buddy's Kitchen, Lakeville MN, 46 pp., dated 2026-04-26. Section and page cited on every line.</w:t>
      </w:r>
    </w:p>
    <w:p>
      <w:pPr>
        <w:pStyle w:val="ListParagraph"/>
        <w:numPr>
          <w:ilvl w:val="0"/>
          <w:numId w:val="2"/>
        </w:numPr>
        <w:spacing w:after="70"/>
      </w:pPr>
      <w:r>
        <w:rPr>
          <w:sz w:val="20"/>
          <w:szCs w:val="20"/>
        </w:rPr>
        <w:t xml:space="preserve">Group L — Invertek Optidrive ODE-3 User Guide Rev 1.01, §3.9 Routine Maintenance p. 10, §9.1 Environmental p. 26, tightening torques §3.3/3.5.</w:t>
      </w:r>
    </w:p>
    <w:p>
      <w:pPr>
        <w:pStyle w:val="ListParagraph"/>
        <w:numPr>
          <w:ilvl w:val="0"/>
          <w:numId w:val="2"/>
        </w:numPr>
        <w:spacing w:after="70"/>
      </w:pPr>
      <w:r>
        <w:rPr>
          <w:sz w:val="20"/>
          <w:szCs w:val="20"/>
        </w:rPr>
        <w:t xml:space="preserve">Group M — Festo general operating conditions, compressed air quality and ISO 8573-1 residual oil classes.</w:t>
      </w:r>
    </w:p>
    <w:p>
      <w:pPr>
        <w:pStyle w:val="ListParagraph"/>
        <w:numPr>
          <w:ilvl w:val="0"/>
          <w:numId w:val="2"/>
        </w:numPr>
        <w:spacing w:after="70"/>
      </w:pPr>
      <w:r>
        <w:rPr>
          <w:sz w:val="20"/>
          <w:szCs w:val="20"/>
        </w:rPr>
        <w:t xml:space="preserve">Group N — Banner Engineering T18-2 series product data; plus WeighTech §12.2 p. 28 for the wiring caution.</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PM Task Schedule — MicroWeigh Triple Indexer, Lakeville (B20)  ·  DRAFT Rev 1, 2026-09-21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Task Schedule — WeighTech MicroWeigh Triple Indexer (Lakeville)</dc:title>
  <dc:creator>Buddy's Kitchen Maintenance</dc:creator>
  <dc:description>Preventive maintenance tasks drawn from the WeighTech manual, for entry into Aptean EAM</dc:description>
  <cp:lastModifiedBy>Un-named</cp:lastModifiedBy>
  <cp:revision>1</cp:revision>
  <dcterms:created xsi:type="dcterms:W3CDTF">2026-09-21T19:27:02.279Z</dcterms:created>
  <dcterms:modified xsi:type="dcterms:W3CDTF">2026-09-21T19:27:02.279Z</dcterms:modified>
</cp:coreProperties>
</file>

<file path=docProps/custom.xml><?xml version="1.0" encoding="utf-8"?>
<Properties xmlns="http://schemas.openxmlformats.org/officeDocument/2006/custom-properties" xmlns:vt="http://schemas.openxmlformats.org/officeDocument/2006/docPropsVTypes"/>
</file>