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color w:val="153B4F"/>
          <w:sz w:val="42"/>
        </w:rPr>
        <w:t>CORRECCIONES PENDIENTES EN SOLMIOS.COM</w:t>
      </w:r>
    </w:p>
    <w:p>
      <w:pPr>
        <w:spacing w:after="220"/>
      </w:pPr>
      <w:r>
        <w:rPr>
          <w:rFonts w:ascii="Calibri" w:hAnsi="Calibri"/>
          <w:b w:val="0"/>
          <w:color w:val="5B6570"/>
          <w:sz w:val="21"/>
        </w:rPr>
        <w:t>Documento depurado: contiene únicamente asuntos que todavía requieren corrección o validación.</w:t>
      </w:r>
    </w:p>
    <w:p>
      <w:pPr>
        <w:pStyle w:val="Heading1"/>
      </w:pPr>
      <w:r>
        <w:t>Prioridad alta</w:t>
      </w:r>
    </w:p>
    <w:p>
      <w:pPr>
        <w:keepNext/>
        <w:keepLines/>
        <w:spacing w:after="40"/>
      </w:pPr>
      <w:r>
        <w:rPr>
          <w:rFonts w:ascii="Calibri" w:hAnsi="Calibri"/>
          <w:b/>
          <w:color w:val="A32222"/>
          <w:sz w:val="22"/>
        </w:rPr>
        <w:t>ALTO — Afirmaciones y testimonios sin respaldo visible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La portada afirma que más de 500 hoteles confían en SolmiOS y muestra hoteles y testimonios que parecen datos de demostración.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Retirar esos números, nombres, logotipos y testimonios hasta disponer de autorizaciones y pruebas verificables; o identificarlos claramente como ejemplos ficticios.</w:t>
      </w:r>
    </w:p>
    <w:p>
      <w:pPr>
        <w:keepNext/>
        <w:keepLines/>
        <w:spacing w:after="40"/>
      </w:pPr>
      <w:r>
        <w:rPr>
          <w:rFonts w:ascii="Calibri" w:hAnsi="Calibri"/>
          <w:b/>
          <w:color w:val="A32222"/>
          <w:sz w:val="22"/>
        </w:rPr>
        <w:t>ALTO — La página pública de contacto no permite contactar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La ruta /p/contacto no ofrece formulario, correo ni teléfono público. Remite a secciones internas del panel, inaccesibles para un visitante nuevo.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Añadir un formulario público funcional y, como alternativa, correo y teléfono de contacto. Comprobar entrega, acuse y gestión interna.</w:t>
      </w:r>
    </w:p>
    <w:p>
      <w:pPr>
        <w:keepNext/>
        <w:keepLines/>
        <w:spacing w:after="40"/>
      </w:pPr>
      <w:r>
        <w:rPr>
          <w:rFonts w:ascii="Calibri" w:hAnsi="Calibri"/>
          <w:b/>
          <w:color w:val="A32222"/>
          <w:sz w:val="22"/>
        </w:rPr>
        <w:t>ALTO — Duración contradictoria de la prueba gratuita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Los planes anuncian 30 días, pero la llamada final de la portada anuncia 14 días.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Definir una sola duración comercial y aplicarla en portada, planes, registro, correos y términos.</w:t>
      </w:r>
    </w:p>
    <w:p>
      <w:pPr>
        <w:keepNext/>
        <w:keepLines/>
        <w:spacing w:after="40"/>
      </w:pPr>
      <w:r>
        <w:rPr>
          <w:rFonts w:ascii="Calibri" w:hAnsi="Calibri"/>
          <w:b/>
          <w:color w:val="A32222"/>
          <w:sz w:val="22"/>
        </w:rPr>
        <w:t>ALTO — Jerarquía incoherente de los planes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Starter permite hasta 30 habitaciones y dice incluir Essential, mientras Essential permite hasta 20 habitaciones.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Corregir nombres, límites, precio y orden de beneficios para que el plan superior sea inequívoco.</w:t>
      </w:r>
    </w:p>
    <w:p>
      <w:pPr>
        <w:pStyle w:val="Heading1"/>
      </w:pPr>
      <w:r>
        <w:t>Prioridad media</w:t>
      </w:r>
    </w:p>
    <w:p>
      <w:pPr>
        <w:keepNext/>
        <w:keepLines/>
        <w:spacing w:after="40"/>
      </w:pPr>
      <w:r>
        <w:rPr>
          <w:rFonts w:ascii="Calibri" w:hAnsi="Calibri"/>
          <w:b/>
          <w:color w:val="9A5A00"/>
          <w:sz w:val="22"/>
        </w:rPr>
        <w:t>MEDIO — Dos fechas distintas en las páginas legales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Términos, Privacidad y Eliminación muestran 26 de agosto de 2026 y también 10 de agosto de 2026 como última actualización.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Dejar una sola fecha vigente en cada página y mantenerla sincronizada con la versión legal publicada.</w:t>
      </w:r>
    </w:p>
    <w:p>
      <w:pPr>
        <w:keepNext/>
        <w:keepLines/>
        <w:spacing w:after="40"/>
      </w:pPr>
      <w:r>
        <w:rPr>
          <w:rFonts w:ascii="Calibri" w:hAnsi="Calibri"/>
          <w:b/>
          <w:color w:val="9A5A00"/>
          <w:sz w:val="22"/>
        </w:rPr>
        <w:t>MEDIO — Tono regional inconsistente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Ubicaciones exactas: /p/contacto contiene “Ya sos cliente”, “creás”, “Querés”, “Registrate”, “probá”, “querés”, “pedila”, “Operás” y “Escribinos”. /p/integraciones contiene “grilla” y “¿Usás otro proveedor?”. /p/que-es-solmios contiene “trabajás”, “Empezá hoy”, “Creá”, “probá”, “conectás” y “empezás”. /p/eliminacion-datos contiene “Completalo”, “si lo recordás” y, después del envío, “Guardalo”. El cierre común de /p/contacto, /p/integraciones, /p/que-es-solmios, /p/terminos, /p/privacidad y /p/eliminacion-datos dice “Gestioná” y “Probalo”. En /panel/dashboard aparecen “Verificá”, “Descargá”, “Revisá” y “Enviá”.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Reemplazar: sos→eres; creás→creas; Querés/querés→Quieres/quieres; Registrate→Regístrate; probá→prueba; pedila→solicítala; Operás→Operas; Escribinos→Escríbenos; grilla→tabla o calendario; Usás→Usas; trabajás→trabajas; Empezá→Empieza; Creá→Crea; conectás→conectas; empezás→empiezas; Completalo→Complétalo; recordás→recuerdas; Guardalo→Guárdalo; Gestioná→Gestiona; Probalo→Pruébalo; Verificá→Verifica; Descargá→Descarga; Revisá→Revisa; Enviá→Envía. Hacer una búsqueda global por las terminaciones “ás”, “és” e “í” usadas como voseo antes de cerrar el cambio.</w:t>
      </w:r>
    </w:p>
    <w:p>
      <w:pPr>
        <w:keepNext/>
        <w:keepLines/>
        <w:spacing w:after="40"/>
      </w:pPr>
      <w:r>
        <w:rPr>
          <w:rFonts w:ascii="Calibri" w:hAnsi="Calibri"/>
          <w:b/>
          <w:color w:val="9A5A00"/>
          <w:sz w:val="22"/>
        </w:rPr>
        <w:t>MEDIO — Enlaces de redes sociales genéricos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Los iconos conducen a las portadas generales de las redes, no a perfiles oficiales de SolmiOS.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Usar Instagram: https://www.instagram.com/solmios/ y Facebook: https://www.facebook.com/solmios/ después de confirmar que ambos perfiles cargan públicamente. El enlace oficial confirmado de X es https://x.com/SolmiOSpms. LinkedIn aún no tiene página oficial: ocultar su icono hasta crearla. Nunca dejar enlaces genéricos.</w:t>
      </w:r>
    </w:p>
    <w:p>
      <w:pPr>
        <w:keepNext/>
        <w:keepLines/>
        <w:spacing w:after="40"/>
      </w:pPr>
      <w:r>
        <w:rPr>
          <w:rFonts w:ascii="Calibri" w:hAnsi="Calibri"/>
          <w:b/>
          <w:color w:val="9A5A00"/>
          <w:sz w:val="22"/>
        </w:rPr>
        <w:t>MEDIO — Llamadas a registro mal dirigidas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El botón Comenzar Gratis de páginas informativas y legales dirige a /login, aunque la navegación principal usa /registro.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Dirigir todas las llamadas de alta a /registro y reservar /login para usuarios existentes.</w:t>
      </w:r>
    </w:p>
    <w:p>
      <w:pPr>
        <w:keepNext/>
        <w:keepLines/>
        <w:spacing w:after="40"/>
      </w:pPr>
      <w:r>
        <w:rPr>
          <w:rFonts w:ascii="Calibri" w:hAnsi="Calibri"/>
          <w:b/>
          <w:color w:val="9A5A00"/>
          <w:sz w:val="22"/>
        </w:rPr>
        <w:t>MEDIO — Correo legal sin validación operativa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Se publican privacidad@solmios.com y soporte@solmios.com, pero no se confirmó recepción, respuesta ni seguimiento.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Probar ambos buzones de extremo a extremo, convertir las direcciones en enlaces y asignar responsables y plazos de respuesta.</w:t>
      </w:r>
    </w:p>
    <w:p>
      <w:pPr>
        <w:keepNext/>
        <w:keepLines/>
        <w:spacing w:after="40"/>
      </w:pPr>
      <w:r>
        <w:rPr>
          <w:rFonts w:ascii="Calibri" w:hAnsi="Calibri"/>
          <w:b/>
          <w:color w:val="9A5A00"/>
          <w:sz w:val="22"/>
        </w:rPr>
        <w:t>MEDIO — Promesas técnicas y comerciales por validar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Se publican promesas como 24/7, implementación en 24 horas, cumplimiento fiscal en seis países e integraciones automáticas.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Conservar solo las promesas demostrables hoy; precisar países, disponibilidad, condiciones y alcance real.</w:t>
      </w:r>
    </w:p>
    <w:p>
      <w:pPr>
        <w:keepNext/>
        <w:keepLines/>
        <w:spacing w:after="40"/>
      </w:pPr>
      <w:r>
        <w:rPr>
          <w:rFonts w:ascii="Calibri" w:hAnsi="Calibri"/>
          <w:b/>
          <w:color w:val="9A5A00"/>
          <w:sz w:val="22"/>
        </w:rPr>
        <w:t>MEDIO — Errores de idioma y estado dentro del panel</w:t>
      </w:r>
    </w:p>
    <w:p>
      <w:pPr>
        <w:keepNext/>
        <w:keepLines/>
        <w:spacing w:after="40"/>
        <w:ind w:left="259"/>
      </w:pPr>
      <w:r>
        <w:rPr>
          <w:rFonts w:ascii="Calibri" w:hAnsi="Calibri"/>
          <w:b/>
          <w:color w:val="222222"/>
          <w:sz w:val="20"/>
        </w:rPr>
        <w:t xml:space="preserve">Hallazgo: </w:t>
      </w:r>
      <w:r>
        <w:rPr>
          <w:rFonts w:ascii="Calibri" w:hAnsi="Calibri"/>
          <w:b w:val="0"/>
          <w:color w:val="222222"/>
          <w:sz w:val="20"/>
        </w:rPr>
        <w:t>Se observaron textos sin tildes o dañados, estados en inglés y una sincronización marcada operativa pese a mostrar 280 horas / 11 días.</w:t>
      </w:r>
    </w:p>
    <w:p>
      <w:pPr>
        <w:keepLines/>
        <w:spacing w:after="160"/>
        <w:ind w:left="259"/>
      </w:pPr>
      <w:r>
        <w:rPr>
          <w:rFonts w:ascii="Calibri" w:hAnsi="Calibri"/>
          <w:b/>
          <w:color w:val="153B4F"/>
          <w:sz w:val="20"/>
        </w:rPr>
        <w:t xml:space="preserve">Corregir: </w:t>
      </w:r>
      <w:r>
        <w:rPr>
          <w:rFonts w:ascii="Calibri" w:hAnsi="Calibri"/>
          <w:b w:val="0"/>
          <w:color w:val="222222"/>
          <w:sz w:val="20"/>
        </w:rPr>
        <w:t>Corregir codificación y traducciones; definir estados coherentes y alertar cuando una sincronización esté vencida.</w:t>
      </w:r>
    </w:p>
    <w:p>
      <w:pPr>
        <w:pStyle w:val="Heading1"/>
      </w:pPr>
      <w:r>
        <w:t>Comprobaciones finales para programación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22222"/>
          <w:sz w:val="20"/>
        </w:rPr>
        <w:t>Probar el registro como visitante nuevo en una sesión sin iniciar: alta, verificación de correo, acceso y recuperación de contraseña.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22222"/>
          <w:sz w:val="20"/>
        </w:rPr>
        <w:t>Probar el formulario público de contacto después de implementarlo y conservar evidencia de recepción.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22222"/>
          <w:sz w:val="20"/>
        </w:rPr>
        <w:t>Verificar que privacidad@solmios.com y soporte@solmios.com reciban y respondan mensajes.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22222"/>
          <w:sz w:val="20"/>
        </w:rPr>
        <w:t>Confirmar con el abogado si el contrato separado cubre cobro recurrente, renovación y cancelación de los planes públicos.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22222"/>
          <w:sz w:val="20"/>
        </w:rPr>
        <w:t>Revisar en móvil y escritorio todas las rutas y repetir la prueba completa de enlaces antes de publicar los cambios.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570"/>
        <w:sz w:val="16"/>
      </w:rPr>
      <w:t>Auditoría funcional del 26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B6570"/>
        <w:sz w:val="17"/>
      </w:rPr>
      <w:t>SOLMI OS | Correcciones pendientes del sitio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677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53B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Correcciones pendientes en SolmiOS.com</dc:title>
  <dc:subject>Auditoría funcional depurada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