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i w:val="0"/>
          <w:color w:val="1F3864"/>
          <w:sz w:val="72"/>
        </w:rPr>
        <w:t>ARCmetry</w:t>
      </w:r>
    </w:p>
    <w:p>
      <w:pPr>
        <w:spacing w:before="0" w:after="160"/>
      </w:pPr>
      <w:r>
        <w:rPr>
          <w:rFonts w:ascii="Arial" w:hAnsi="Arial"/>
          <w:b w:val="0"/>
          <w:i w:val="0"/>
          <w:color w:val="1F7A8C"/>
          <w:sz w:val="40"/>
        </w:rPr>
        <w:t>Mobility Analysis Report</w:t>
      </w:r>
    </w:p>
    <w:tbl>
      <w:tblPr>
        <w:tblStyle w:val="TableGrid"/>
        <w:tblW w:type="auto" w:w="0"/>
        <w:tblLook w:firstColumn="1" w:firstRow="1" w:lastColumn="0" w:lastRow="0" w:noHBand="0" w:noVBand="1" w:val="04A0"/>
      </w:tblPr>
      <w:tblGrid>
        <w:gridCol w:w="9360"/>
      </w:tblGrid>
      <w:tr>
        <w:tc>
          <w:tcPr>
            <w:tcW w:type="dxa" w:w="9360"/>
            <w:shd w:val="clear" w:color="auto" w:fill="1F7A8C"/>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3864"/>
                <w:sz w:val="18"/>
              </w:rPr>
              <w:t>Prepared for</w:t>
            </w:r>
          </w:p>
        </w:tc>
        <w:tc>
          <w:tcPr>
            <w:tcW w:type="dxa" w:w="4680"/>
            <w:shd w:val="clear" w:color="auto" w:fill="F5F5F5"/>
          </w:tcPr>
          <w:p>
            <w:pPr>
              <w:spacing w:before="100" w:after="100"/>
            </w:pPr>
            <w:r>
              <w:rPr>
                <w:rFonts w:ascii="Arial" w:hAnsi="Arial"/>
                <w:b w:val="0"/>
                <w:i w:val="0"/>
                <w:color w:val="1A1A1A"/>
                <w:sz w:val="18"/>
              </w:rPr>
              <w:t>Diane Carter</w:t>
            </w:r>
          </w:p>
        </w:tc>
      </w:tr>
      <w:tr>
        <w:tc>
          <w:tcPr>
            <w:tcW w:type="dxa" w:w="4680"/>
            <w:shd w:val="clear" w:color="auto" w:fill="FFFFFF"/>
          </w:tcPr>
          <w:p>
            <w:pPr>
              <w:spacing w:before="100" w:after="100"/>
            </w:pPr>
            <w:r>
              <w:rPr>
                <w:rFonts w:ascii="Arial" w:hAnsi="Arial"/>
                <w:b/>
                <w:i w:val="0"/>
                <w:color w:val="1F3864"/>
                <w:sz w:val="18"/>
              </w:rPr>
              <w:t>Location</w:t>
            </w:r>
          </w:p>
        </w:tc>
        <w:tc>
          <w:tcPr>
            <w:tcW w:type="dxa" w:w="4680"/>
            <w:shd w:val="clear" w:color="auto" w:fill="FFFFFF"/>
          </w:tcPr>
          <w:p>
            <w:pPr>
              <w:spacing w:before="100" w:after="100"/>
            </w:pPr>
            <w:r>
              <w:rPr>
                <w:rFonts w:ascii="Arial" w:hAnsi="Arial"/>
                <w:b w:val="0"/>
                <w:i w:val="0"/>
                <w:color w:val="1A1A1A"/>
                <w:sz w:val="18"/>
              </w:rPr>
              <w:t>Columbus, Ohio</w:t>
            </w:r>
          </w:p>
        </w:tc>
      </w:tr>
      <w:tr>
        <w:tc>
          <w:tcPr>
            <w:tcW w:type="dxa" w:w="4680"/>
            <w:shd w:val="clear" w:color="auto" w:fill="F5F5F5"/>
          </w:tcPr>
          <w:p>
            <w:pPr>
              <w:spacing w:before="100" w:after="100"/>
            </w:pPr>
            <w:r>
              <w:rPr>
                <w:rFonts w:ascii="Arial" w:hAnsi="Arial"/>
                <w:b/>
                <w:i w:val="0"/>
                <w:color w:val="1F3864"/>
                <w:sz w:val="18"/>
              </w:rPr>
              <w:t>Report Tier</w:t>
            </w:r>
          </w:p>
        </w:tc>
        <w:tc>
          <w:tcPr>
            <w:tcW w:type="dxa" w:w="4680"/>
            <w:shd w:val="clear" w:color="auto" w:fill="F5F5F5"/>
          </w:tcPr>
          <w:p>
            <w:pPr>
              <w:spacing w:before="100" w:after="100"/>
            </w:pPr>
            <w:r>
              <w:rPr>
                <w:rFonts w:ascii="Arial" w:hAnsi="Arial"/>
                <w:b w:val="0"/>
                <w:i w:val="0"/>
                <w:color w:val="1A1A1A"/>
                <w:sz w:val="18"/>
              </w:rPr>
              <w:t>Mobility Analysis  ·  $39</w:t>
            </w:r>
          </w:p>
        </w:tc>
      </w:tr>
      <w:tr>
        <w:tc>
          <w:tcPr>
            <w:tcW w:type="dxa" w:w="4680"/>
            <w:shd w:val="clear" w:color="auto" w:fill="FFFFFF"/>
          </w:tcPr>
          <w:p>
            <w:pPr>
              <w:spacing w:before="100" w:after="100"/>
            </w:pPr>
            <w:r>
              <w:rPr>
                <w:rFonts w:ascii="Arial" w:hAnsi="Arial"/>
                <w:b/>
                <w:i w:val="0"/>
                <w:color w:val="1F3864"/>
                <w:sz w:val="18"/>
              </w:rPr>
              <w:t>Prepared by</w:t>
            </w:r>
          </w:p>
        </w:tc>
        <w:tc>
          <w:tcPr>
            <w:tcW w:type="dxa" w:w="4680"/>
            <w:shd w:val="clear" w:color="auto" w:fill="FFFFFF"/>
          </w:tcPr>
          <w:p>
            <w:pPr>
              <w:spacing w:before="100" w:after="100"/>
            </w:pPr>
            <w:r>
              <w:rPr>
                <w:rFonts w:ascii="Arial" w:hAnsi="Arial"/>
                <w:b w:val="0"/>
                <w:i w:val="0"/>
                <w:color w:val="1A1A1A"/>
                <w:sz w:val="18"/>
              </w:rPr>
              <w:t>ARCmetry Career Intelligence</w:t>
            </w:r>
          </w:p>
        </w:tc>
      </w:tr>
    </w:tbl>
    <w:p>
      <w:pPr>
        <w:spacing w:before="120" w:after="120"/>
      </w:pPr>
    </w:p>
    <w:p>
      <w:pPr>
        <w:spacing w:before="80" w:after="200"/>
      </w:pPr>
      <w:r>
        <w:rPr>
          <w:rFonts w:ascii="Arial" w:hAnsi="Arial"/>
          <w:b w:val="0"/>
          <w:i w:val="0"/>
          <w:color w:val="444444"/>
          <w:sz w:val="20"/>
        </w:rPr>
        <w:t>This report contains your personalized career mobility analysis. It identifies three realistic pathways matched to your skills, schedule constraints, and income goals, along with a specific action plan designed to work around your full-time job and family commitments.</w:t>
      </w:r>
    </w:p>
    <w:p>
      <w:pPr>
        <w:spacing w:before="280" w:after="80"/>
      </w:pPr>
      <w:r>
        <w:rPr>
          <w:rFonts w:ascii="Arial" w:hAnsi="Arial"/>
          <w:b/>
          <w:i w:val="0"/>
          <w:color w:val="1F3864"/>
          <w:sz w:val="26"/>
        </w:rPr>
        <w:t>Executive Summary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80"/>
      </w:pPr>
      <w:r>
        <w:rPr>
          <w:rFonts w:ascii="Arial" w:hAnsi="Arial"/>
          <w:b w:val="0"/>
          <w:i w:val="0"/>
          <w:color w:val="1A1A1A"/>
          <w:sz w:val="20"/>
        </w:rPr>
        <w:t>You are currently working full-time as a home health aide in Ohio, earning approximately $28,000 per year. You have six years of direct patient care experience, strong documentation skills, and a clear goal: move into a healthcare coordination or office management role that pays significantly more and fits around your family schedule.</w:t>
      </w:r>
    </w:p>
    <w:p>
      <w:pPr>
        <w:spacing w:before="40" w:after="120"/>
      </w:pPr>
      <w:r>
        <w:rPr>
          <w:rFonts w:ascii="Arial" w:hAnsi="Arial"/>
          <w:b w:val="0"/>
          <w:i/>
          <w:color w:val="1F7A8C"/>
          <w:sz w:val="18"/>
        </w:rPr>
        <w:t>ARCmetry analyzes local labor market demand, training accessibility, workforce funding programs, and barrier risk factors to identify realistic career pathways.</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Current Income</w:t>
            </w:r>
          </w:p>
        </w:tc>
        <w:tc>
          <w:tcPr>
            <w:tcW w:type="dxa" w:w="4680"/>
            <w:shd w:val="clear" w:color="auto" w:fill="F5F5F5"/>
          </w:tcPr>
          <w:p>
            <w:pPr>
              <w:spacing w:before="100" w:after="100"/>
            </w:pPr>
            <w:r>
              <w:rPr>
                <w:rFonts w:ascii="Arial" w:hAnsi="Arial"/>
                <w:b w:val="0"/>
                <w:i w:val="0"/>
                <w:color w:val="1A1A1A"/>
                <w:sz w:val="18"/>
              </w:rPr>
              <w:t>~$28,000/year  (full-time HHA)</w:t>
            </w:r>
          </w:p>
        </w:tc>
      </w:tr>
      <w:tr>
        <w:tc>
          <w:tcPr>
            <w:tcW w:type="dxa" w:w="4680"/>
            <w:shd w:val="clear" w:color="auto" w:fill="FFFFFF"/>
          </w:tcPr>
          <w:p>
            <w:pPr>
              <w:spacing w:before="100" w:after="100"/>
            </w:pPr>
            <w:r>
              <w:rPr>
                <w:rFonts w:ascii="Arial" w:hAnsi="Arial"/>
                <w:b/>
                <w:i w:val="0"/>
                <w:color w:val="1F7A8C"/>
                <w:sz w:val="18"/>
              </w:rPr>
              <w:t>Target Income — Year 1</w:t>
            </w:r>
          </w:p>
        </w:tc>
        <w:tc>
          <w:tcPr>
            <w:tcW w:type="dxa" w:w="4680"/>
            <w:shd w:val="clear" w:color="auto" w:fill="FFFFFF"/>
          </w:tcPr>
          <w:p>
            <w:pPr>
              <w:spacing w:before="100" w:after="100"/>
            </w:pPr>
            <w:r>
              <w:rPr>
                <w:rFonts w:ascii="Arial" w:hAnsi="Arial"/>
                <w:b w:val="0"/>
                <w:i w:val="0"/>
                <w:color w:val="1A1A1A"/>
                <w:sz w:val="18"/>
              </w:rPr>
              <w:t>$36,000–$40,000  (Medical Billing/Coding or Coordinator entry)</w:t>
            </w:r>
          </w:p>
        </w:tc>
      </w:tr>
      <w:tr>
        <w:tc>
          <w:tcPr>
            <w:tcW w:type="dxa" w:w="4680"/>
            <w:shd w:val="clear" w:color="auto" w:fill="F5F5F5"/>
          </w:tcPr>
          <w:p>
            <w:pPr>
              <w:spacing w:before="100" w:after="100"/>
            </w:pPr>
            <w:r>
              <w:rPr>
                <w:rFonts w:ascii="Arial" w:hAnsi="Arial"/>
                <w:b/>
                <w:i w:val="0"/>
                <w:color w:val="1F7A8C"/>
                <w:sz w:val="18"/>
              </w:rPr>
              <w:t>Target Income — Year 3</w:t>
            </w:r>
          </w:p>
        </w:tc>
        <w:tc>
          <w:tcPr>
            <w:tcW w:type="dxa" w:w="4680"/>
            <w:shd w:val="clear" w:color="auto" w:fill="F5F5F5"/>
          </w:tcPr>
          <w:p>
            <w:pPr>
              <w:spacing w:before="100" w:after="100"/>
            </w:pPr>
            <w:r>
              <w:rPr>
                <w:rFonts w:ascii="Arial" w:hAnsi="Arial"/>
                <w:b w:val="0"/>
                <w:i w:val="0"/>
                <w:color w:val="1A1A1A"/>
                <w:sz w:val="18"/>
              </w:rPr>
              <w:t>$44,000–$50,000  (Healthcare Coordinator, senior level)</w:t>
            </w:r>
          </w:p>
        </w:tc>
      </w:tr>
      <w:tr>
        <w:tc>
          <w:tcPr>
            <w:tcW w:type="dxa" w:w="4680"/>
            <w:shd w:val="clear" w:color="auto" w:fill="FFFFFF"/>
          </w:tcPr>
          <w:p>
            <w:pPr>
              <w:spacing w:before="100" w:after="100"/>
            </w:pPr>
            <w:r>
              <w:rPr>
                <w:rFonts w:ascii="Arial" w:hAnsi="Arial"/>
                <w:b/>
                <w:i w:val="0"/>
                <w:color w:val="1F7A8C"/>
                <w:sz w:val="18"/>
              </w:rPr>
              <w:t>5-Year Earnings Gain</w:t>
            </w:r>
          </w:p>
        </w:tc>
        <w:tc>
          <w:tcPr>
            <w:tcW w:type="dxa" w:w="4680"/>
            <w:shd w:val="clear" w:color="auto" w:fill="FFFFFF"/>
          </w:tcPr>
          <w:p>
            <w:pPr>
              <w:spacing w:before="100" w:after="100"/>
            </w:pPr>
            <w:r>
              <w:rPr>
                <w:rFonts w:ascii="Arial" w:hAnsi="Arial"/>
                <w:b w:val="0"/>
                <w:i w:val="0"/>
                <w:color w:val="1A1A1A"/>
                <w:sz w:val="18"/>
              </w:rPr>
              <w:t>~$94,000 more than staying as an HHA</w:t>
            </w:r>
          </w:p>
        </w:tc>
      </w:tr>
      <w:tr>
        <w:tc>
          <w:tcPr>
            <w:tcW w:type="dxa" w:w="4680"/>
            <w:shd w:val="clear" w:color="auto" w:fill="F5F5F5"/>
          </w:tcPr>
          <w:p>
            <w:pPr>
              <w:spacing w:before="100" w:after="100"/>
            </w:pPr>
            <w:r>
              <w:rPr>
                <w:rFonts w:ascii="Arial" w:hAnsi="Arial"/>
                <w:b/>
                <w:i w:val="0"/>
                <w:color w:val="1F7A8C"/>
                <w:sz w:val="18"/>
              </w:rPr>
              <w:t>Training Cost</w:t>
            </w:r>
          </w:p>
        </w:tc>
        <w:tc>
          <w:tcPr>
            <w:tcW w:type="dxa" w:w="4680"/>
            <w:shd w:val="clear" w:color="auto" w:fill="F5F5F5"/>
          </w:tcPr>
          <w:p>
            <w:pPr>
              <w:spacing w:before="100" w:after="100"/>
            </w:pPr>
            <w:r>
              <w:rPr>
                <w:rFonts w:ascii="Arial" w:hAnsi="Arial"/>
                <w:b w:val="0"/>
                <w:i w:val="0"/>
                <w:color w:val="1A1A1A"/>
                <w:sz w:val="18"/>
              </w:rPr>
              <w:t>$0–$3,500  (WIOA-eligible; online programs available)</w:t>
            </w:r>
          </w:p>
        </w:tc>
      </w:tr>
      <w:tr>
        <w:tc>
          <w:tcPr>
            <w:tcW w:type="dxa" w:w="4680"/>
            <w:shd w:val="clear" w:color="auto" w:fill="FFFFFF"/>
          </w:tcPr>
          <w:p>
            <w:pPr>
              <w:spacing w:before="100" w:after="100"/>
            </w:pPr>
            <w:r>
              <w:rPr>
                <w:rFonts w:ascii="Arial" w:hAnsi="Arial"/>
                <w:b/>
                <w:i w:val="0"/>
                <w:color w:val="1F7A8C"/>
                <w:sz w:val="18"/>
              </w:rPr>
              <w:t>Time to First Paycheck</w:t>
            </w:r>
          </w:p>
        </w:tc>
        <w:tc>
          <w:tcPr>
            <w:tcW w:type="dxa" w:w="4680"/>
            <w:shd w:val="clear" w:color="auto" w:fill="FFFFFF"/>
          </w:tcPr>
          <w:p>
            <w:pPr>
              <w:spacing w:before="100" w:after="100"/>
            </w:pPr>
            <w:r>
              <w:rPr>
                <w:rFonts w:ascii="Arial" w:hAnsi="Arial"/>
                <w:b w:val="0"/>
                <w:i w:val="0"/>
                <w:color w:val="1A1A1A"/>
                <w:sz w:val="18"/>
              </w:rPr>
              <w:t>6–9 months  (billing/coding pathway)</w:t>
            </w:r>
          </w:p>
        </w:tc>
      </w:tr>
      <w:tr>
        <w:tc>
          <w:tcPr>
            <w:tcW w:type="dxa" w:w="4680"/>
            <w:shd w:val="clear" w:color="auto" w:fill="F5F5F5"/>
          </w:tcPr>
          <w:p>
            <w:pPr>
              <w:spacing w:before="100" w:after="100"/>
            </w:pPr>
            <w:r>
              <w:rPr>
                <w:rFonts w:ascii="Arial" w:hAnsi="Arial"/>
                <w:b/>
                <w:i w:val="0"/>
                <w:color w:val="1F7A8C"/>
                <w:sz w:val="18"/>
              </w:rPr>
              <w:t>Primary Recommendation</w:t>
            </w:r>
          </w:p>
        </w:tc>
        <w:tc>
          <w:tcPr>
            <w:tcW w:type="dxa" w:w="4680"/>
            <w:shd w:val="clear" w:color="auto" w:fill="F5F5F5"/>
          </w:tcPr>
          <w:p>
            <w:pPr>
              <w:spacing w:before="100" w:after="100"/>
            </w:pPr>
            <w:r>
              <w:rPr>
                <w:rFonts w:ascii="Arial" w:hAnsi="Arial"/>
                <w:b w:val="0"/>
                <w:i w:val="0"/>
                <w:color w:val="1A1A1A"/>
                <w:sz w:val="18"/>
              </w:rPr>
              <w:t>Medical Billing &amp; Coding  →  Healthcare Coordinator</w:t>
            </w:r>
          </w:p>
        </w:tc>
      </w:tr>
    </w:tbl>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EEF7F9"/>
          </w:tcPr>
          <w:p>
            <w:pPr>
              <w:spacing w:before="160" w:after="80"/>
            </w:pPr>
            <w:r>
              <w:rPr>
                <w:rFonts w:ascii="Arial" w:hAnsi="Arial"/>
                <w:b/>
                <w:i w:val="0"/>
                <w:color w:val="1F7A8C"/>
                <w:sz w:val="20"/>
              </w:rPr>
              <w:t>Why ARCmetry Recommended This Path</w:t>
            </w:r>
          </w:p>
          <w:p>
            <w:pPr>
              <w:spacing w:before="0" w:after="160"/>
            </w:pPr>
            <w:r>
              <w:rPr>
                <w:rFonts w:ascii="Arial" w:hAnsi="Arial"/>
                <w:b w:val="0"/>
                <w:i w:val="0"/>
                <w:color w:val="1A4A5A"/>
                <w:sz w:val="18"/>
              </w:rPr>
              <w:t>ARCmetry recommended the medical billing and coding to healthcare coordinator track because it builds directly on your six years of HHA documentation experience, can be completed entirely online or in early morning formats, and requires no evening or weekend availability. Ohio has strong demand for healthcare administrative professionals, and this pathway moves you from hands-on care into a coordination role without abandoning the healthcare knowledge you have spent years building.</w:t>
            </w:r>
          </w:p>
        </w:tc>
      </w:tr>
    </w:tbl>
    <w:p>
      <w:pPr>
        <w:spacing w:before="120" w:after="120"/>
      </w:pPr>
    </w:p>
    <w:p>
      <w:pPr>
        <w:spacing w:before="80" w:after="160"/>
      </w:pPr>
      <w:r>
        <w:rPr>
          <w:rFonts w:ascii="Arial" w:hAnsi="Arial"/>
          <w:b/>
          <w:i w:val="0"/>
          <w:color w:val="1F3864"/>
          <w:sz w:val="20"/>
        </w:rPr>
        <w:t>The most important action you can take this week: contact Ohio Means Jobs (your local OhioMeansJobs center) to open a WIOA application and confirm online program eligibility before enrolling anywhere.</w:t>
      </w:r>
    </w:p>
    <w:p>
      <w:pPr>
        <w:spacing w:before="280" w:after="80"/>
      </w:pPr>
      <w:r>
        <w:rPr>
          <w:rFonts w:ascii="Arial" w:hAnsi="Arial"/>
          <w:b/>
          <w:i w:val="0"/>
          <w:color w:val="1F3864"/>
          <w:sz w:val="26"/>
        </w:rPr>
        <w:t>Your Profile at a Glance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Key Strengths</w:t>
            </w:r>
          </w:p>
        </w:tc>
        <w:tc>
          <w:tcPr>
            <w:tcW w:type="dxa" w:w="4680"/>
            <w:shd w:val="clear" w:color="auto" w:fill="F5F5F5"/>
          </w:tcPr>
          <w:p>
            <w:pPr>
              <w:spacing w:before="100" w:after="100"/>
            </w:pPr>
            <w:r>
              <w:rPr>
                <w:rFonts w:ascii="Arial" w:hAnsi="Arial"/>
                <w:b w:val="0"/>
                <w:i w:val="0"/>
                <w:color w:val="1A1A1A"/>
                <w:sz w:val="18"/>
              </w:rPr>
              <w:t>Patient documentation, family communication, care coordination, reliability, 6 years clinical experience</w:t>
            </w:r>
          </w:p>
        </w:tc>
      </w:tr>
      <w:tr>
        <w:tc>
          <w:tcPr>
            <w:tcW w:type="dxa" w:w="4680"/>
            <w:shd w:val="clear" w:color="auto" w:fill="FFFFFF"/>
          </w:tcPr>
          <w:p>
            <w:pPr>
              <w:spacing w:before="100" w:after="100"/>
            </w:pPr>
            <w:r>
              <w:rPr>
                <w:rFonts w:ascii="Arial" w:hAnsi="Arial"/>
                <w:b/>
                <w:i w:val="0"/>
                <w:color w:val="1F7A8C"/>
                <w:sz w:val="18"/>
              </w:rPr>
              <w:t>Work Environment</w:t>
            </w:r>
          </w:p>
        </w:tc>
        <w:tc>
          <w:tcPr>
            <w:tcW w:type="dxa" w:w="4680"/>
            <w:shd w:val="clear" w:color="auto" w:fill="FFFFFF"/>
          </w:tcPr>
          <w:p>
            <w:pPr>
              <w:spacing w:before="100" w:after="100"/>
            </w:pPr>
            <w:r>
              <w:rPr>
                <w:rFonts w:ascii="Arial" w:hAnsi="Arial"/>
                <w:b w:val="0"/>
                <w:i w:val="0"/>
                <w:color w:val="1A1A1A"/>
                <w:sz w:val="18"/>
              </w:rPr>
              <w:t>Healthcare (primary)  ·  Office / administrative (secondary)</w:t>
            </w:r>
          </w:p>
        </w:tc>
      </w:tr>
      <w:tr>
        <w:tc>
          <w:tcPr>
            <w:tcW w:type="dxa" w:w="4680"/>
            <w:shd w:val="clear" w:color="auto" w:fill="F5F5F5"/>
          </w:tcPr>
          <w:p>
            <w:pPr>
              <w:spacing w:before="100" w:after="100"/>
            </w:pPr>
            <w:r>
              <w:rPr>
                <w:rFonts w:ascii="Arial" w:hAnsi="Arial"/>
                <w:b/>
                <w:i w:val="0"/>
                <w:color w:val="1F7A8C"/>
                <w:sz w:val="18"/>
              </w:rPr>
              <w:t>Income Urgency</w:t>
            </w:r>
          </w:p>
        </w:tc>
        <w:tc>
          <w:tcPr>
            <w:tcW w:type="dxa" w:w="4680"/>
            <w:shd w:val="clear" w:color="auto" w:fill="F5F5F5"/>
          </w:tcPr>
          <w:p>
            <w:pPr>
              <w:spacing w:before="100" w:after="100"/>
            </w:pPr>
            <w:r>
              <w:rPr>
                <w:rFonts w:ascii="Arial" w:hAnsi="Arial"/>
                <w:b w:val="0"/>
                <w:i w:val="0"/>
                <w:color w:val="1A1A1A"/>
                <w:sz w:val="18"/>
              </w:rPr>
              <w:t>MODERATE — targeting a wage jump within 3–6 months</w:t>
            </w:r>
          </w:p>
        </w:tc>
      </w:tr>
      <w:tr>
        <w:tc>
          <w:tcPr>
            <w:tcW w:type="dxa" w:w="4680"/>
            <w:shd w:val="clear" w:color="auto" w:fill="FFFFFF"/>
          </w:tcPr>
          <w:p>
            <w:pPr>
              <w:spacing w:before="100" w:after="100"/>
            </w:pPr>
            <w:r>
              <w:rPr>
                <w:rFonts w:ascii="Arial" w:hAnsi="Arial"/>
                <w:b/>
                <w:i w:val="0"/>
                <w:color w:val="1F7A8C"/>
                <w:sz w:val="18"/>
              </w:rPr>
              <w:t>Training Tolerance</w:t>
            </w:r>
          </w:p>
        </w:tc>
        <w:tc>
          <w:tcPr>
            <w:tcW w:type="dxa" w:w="4680"/>
            <w:shd w:val="clear" w:color="auto" w:fill="FFFFFF"/>
          </w:tcPr>
          <w:p>
            <w:pPr>
              <w:spacing w:before="100" w:after="100"/>
            </w:pPr>
            <w:r>
              <w:rPr>
                <w:rFonts w:ascii="Arial" w:hAnsi="Arial"/>
                <w:b w:val="0"/>
                <w:i w:val="0"/>
                <w:color w:val="1A1A1A"/>
                <w:sz w:val="18"/>
              </w:rPr>
              <w:t>HIGH — motivated to train; online or early morning formats only</w:t>
            </w:r>
          </w:p>
        </w:tc>
      </w:tr>
      <w:tr>
        <w:tc>
          <w:tcPr>
            <w:tcW w:type="dxa" w:w="4680"/>
            <w:shd w:val="clear" w:color="auto" w:fill="F5F5F5"/>
          </w:tcPr>
          <w:p>
            <w:pPr>
              <w:spacing w:before="100" w:after="100"/>
            </w:pPr>
            <w:r>
              <w:rPr>
                <w:rFonts w:ascii="Arial" w:hAnsi="Arial"/>
                <w:b/>
                <w:i w:val="0"/>
                <w:color w:val="1F7A8C"/>
                <w:sz w:val="18"/>
              </w:rPr>
              <w:t>Active Barriers</w:t>
            </w:r>
          </w:p>
        </w:tc>
        <w:tc>
          <w:tcPr>
            <w:tcW w:type="dxa" w:w="4680"/>
            <w:shd w:val="clear" w:color="auto" w:fill="F5F5F5"/>
          </w:tcPr>
          <w:p>
            <w:pPr>
              <w:spacing w:before="100" w:after="100"/>
            </w:pPr>
            <w:r>
              <w:rPr>
                <w:rFonts w:ascii="Arial" w:hAnsi="Arial"/>
                <w:b w:val="0"/>
                <w:i w:val="0"/>
                <w:color w:val="1A1A1A"/>
                <w:sz w:val="18"/>
              </w:rPr>
              <w:t>Childcare (evenings and weekends unavailable)  ·  Must work while training</w:t>
            </w:r>
          </w:p>
        </w:tc>
      </w:tr>
      <w:tr>
        <w:tc>
          <w:tcPr>
            <w:tcW w:type="dxa" w:w="4680"/>
            <w:shd w:val="clear" w:color="auto" w:fill="FFFFFF"/>
          </w:tcPr>
          <w:p>
            <w:pPr>
              <w:spacing w:before="100" w:after="100"/>
            </w:pPr>
            <w:r>
              <w:rPr>
                <w:rFonts w:ascii="Arial" w:hAnsi="Arial"/>
                <w:b/>
                <w:i w:val="0"/>
                <w:color w:val="1F7A8C"/>
                <w:sz w:val="18"/>
              </w:rPr>
              <w:t>Training Budget</w:t>
            </w:r>
          </w:p>
        </w:tc>
        <w:tc>
          <w:tcPr>
            <w:tcW w:type="dxa" w:w="4680"/>
            <w:shd w:val="clear" w:color="auto" w:fill="FFFFFF"/>
          </w:tcPr>
          <w:p>
            <w:pPr>
              <w:spacing w:before="100" w:after="100"/>
            </w:pPr>
            <w:r>
              <w:rPr>
                <w:rFonts w:ascii="Arial" w:hAnsi="Arial"/>
                <w:b w:val="0"/>
                <w:i w:val="0"/>
                <w:color w:val="1A1A1A"/>
                <w:sz w:val="18"/>
              </w:rPr>
              <w:t>Up to $5,000</w:t>
            </w:r>
          </w:p>
        </w:tc>
      </w:tr>
      <w:tr>
        <w:tc>
          <w:tcPr>
            <w:tcW w:type="dxa" w:w="4680"/>
            <w:shd w:val="clear" w:color="auto" w:fill="F5F5F5"/>
          </w:tcPr>
          <w:p>
            <w:pPr>
              <w:spacing w:before="100" w:after="100"/>
            </w:pPr>
            <w:r>
              <w:rPr>
                <w:rFonts w:ascii="Arial" w:hAnsi="Arial"/>
                <w:b/>
                <w:i w:val="0"/>
                <w:color w:val="1F7A8C"/>
                <w:sz w:val="18"/>
              </w:rPr>
              <w:t>Education</w:t>
            </w:r>
          </w:p>
        </w:tc>
        <w:tc>
          <w:tcPr>
            <w:tcW w:type="dxa" w:w="4680"/>
            <w:shd w:val="clear" w:color="auto" w:fill="F5F5F5"/>
          </w:tcPr>
          <w:p>
            <w:pPr>
              <w:spacing w:before="100" w:after="100"/>
            </w:pPr>
            <w:r>
              <w:rPr>
                <w:rFonts w:ascii="Arial" w:hAnsi="Arial"/>
                <w:b w:val="0"/>
                <w:i w:val="0"/>
                <w:color w:val="1A1A1A"/>
                <w:sz w:val="18"/>
              </w:rPr>
              <w:t>Some college, no degree</w:t>
            </w:r>
          </w:p>
        </w:tc>
      </w:tr>
    </w:tbl>
    <w:p>
      <w:pPr>
        <w:spacing w:before="120" w:after="120"/>
      </w:pPr>
    </w:p>
    <w:p>
      <w:pPr>
        <w:spacing w:before="80" w:after="160"/>
      </w:pPr>
      <w:r>
        <w:rPr>
          <w:rFonts w:ascii="Arial" w:hAnsi="Arial"/>
          <w:b w:val="0"/>
          <w:i/>
          <w:color w:val="444444"/>
          <w:sz w:val="20"/>
        </w:rPr>
        <w:t>Six years as a home health aide is not a starting point. It is a credential in itself. Your documentation habits, your ability to communicate care plans to families, and your knowledge of how patients move through the healthcare system are exactly what coordinators and office managers do every day. You are not changing careers. You are stepping sideways into the administrative side of the career you already have.</w:t>
      </w:r>
    </w:p>
    <w:p>
      <w:pPr>
        <w:spacing w:before="280" w:after="80"/>
      </w:pPr>
      <w:r>
        <w:rPr>
          <w:rFonts w:ascii="Arial" w:hAnsi="Arial"/>
          <w:b/>
          <w:i w:val="0"/>
          <w:color w:val="1F3864"/>
          <w:sz w:val="26"/>
        </w:rPr>
        <w:t>Your Three Career Pathways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200"/>
      </w:pPr>
      <w:r>
        <w:rPr>
          <w:rFonts w:ascii="Arial" w:hAnsi="Arial"/>
          <w:b w:val="0"/>
          <w:i w:val="0"/>
          <w:color w:val="444444"/>
          <w:sz w:val="20"/>
        </w:rPr>
        <w:t>Every ARCmetry Mobility Analysis identifies three pathways: a Stabilization pathway (fastest income with lowest barrier), a Mobility pathway (the primary wage-jump target), and a Stretch pathway (your best alternative if the primary path faces an unexpected barrier). All three are filtered to honor your online/early-morning schedule constraint.</w:t>
      </w:r>
    </w:p>
    <w:tbl>
      <w:tblPr>
        <w:tblStyle w:val="TableGrid"/>
        <w:tblW w:type="auto" w:w="0"/>
        <w:tblLook w:firstColumn="1" w:firstRow="1" w:lastColumn="0" w:lastRow="0" w:noHBand="0" w:noVBand="1" w:val="04A0"/>
      </w:tblPr>
      <w:tblGrid>
        <w:gridCol w:w="9360"/>
      </w:tblGrid>
      <w:tr>
        <w:tc>
          <w:tcPr>
            <w:tcW w:type="dxa" w:w="9360"/>
            <w:shd w:val="clear" w:color="auto" w:fill="2D6A4F"/>
          </w:tcPr>
          <w:p>
            <w:pPr>
              <w:spacing w:before="160" w:after="40"/>
            </w:pPr>
            <w:r>
              <w:rPr>
                <w:rFonts w:ascii="Arial" w:hAnsi="Arial"/>
                <w:b/>
                <w:i w:val="0"/>
                <w:color w:val="FFFFFF"/>
                <w:sz w:val="22"/>
              </w:rPr>
              <w:t>PATHWAY 1  —  STABILIZATION</w:t>
            </w:r>
          </w:p>
          <w:p>
            <w:pPr>
              <w:spacing w:before="40" w:after="200"/>
            </w:pPr>
            <w:r>
              <w:rPr>
                <w:rFonts w:ascii="Arial" w:hAnsi="Arial"/>
                <w:b/>
                <w:i w:val="0"/>
                <w:color w:val="FFFFFF"/>
                <w:sz w:val="32"/>
              </w:rPr>
              <w:t>Medical Billing and Coding Specialist</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42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2D6A4F"/>
                <w:sz w:val="26"/>
              </w:rPr>
              <w:t>HIGH</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2/5  —  Online certificate accessible with some college credit; no clinical prerequisites</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Medical billing and coding is the strongest match for your documentation background, online learning preference, and $5,000 training budget. Your six years of HHA charting and care plan documentation translate directly to the accuracy and detail this role requires. Ohio has strong demand for certified billers, and programs are fully online with no evening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6–8 months  (online program plus CPC exam)</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$36,000  →  Year 3 $44,000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Schedule: Fully online programs available through AHIMA, AAPC, and Ohio community colleges. No evening or weekend attendance required.</w:t>
      </w:r>
    </w:p>
    <w:p>
      <w:pPr>
        <w:pStyle w:val="ListBullet"/>
        <w:spacing w:before="20" w:after="20"/>
      </w:pPr>
      <w:r>
        <w:rPr>
          <w:rFonts w:ascii="Arial" w:hAnsi="Arial"/>
          <w:b w:val="0"/>
          <w:i w:val="0"/>
          <w:color w:val="1A1A1A"/>
          <w:sz w:val="18"/>
        </w:rPr>
        <w:t>Childcare: Self-paced online format means you study when the kids are asleep or in school. No conflict.</w:t>
      </w:r>
    </w:p>
    <w:p>
      <w:pPr>
        <w:pStyle w:val="ListBullet"/>
        <w:spacing w:before="20" w:after="20"/>
      </w:pPr>
      <w:r>
        <w:rPr>
          <w:rFonts w:ascii="Arial" w:hAnsi="Arial"/>
          <w:b w:val="0"/>
          <w:i w:val="0"/>
          <w:color w:val="1A1A1A"/>
          <w:sz w:val="18"/>
        </w:rPr>
        <w:t>Budget: Total cost $1,500–$3,000 for online program plus CPC exam ($300). Well within your $5,000 budget. WIOA may cover the full amount.</w:t>
      </w:r>
    </w:p>
    <w:p>
      <w:pPr>
        <w:pStyle w:val="ListBullet"/>
        <w:spacing w:before="20" w:after="20"/>
      </w:pPr>
      <w:r>
        <w:rPr>
          <w:rFonts w:ascii="Arial" w:hAnsi="Arial"/>
          <w:b w:val="0"/>
          <w:i w:val="0"/>
          <w:color w:val="1A1A1A"/>
          <w:sz w:val="18"/>
        </w:rPr>
        <w:t>Ohio market: Medical billers are in high demand across Columbus, Cleveland, and Cincinnati. Remote work options are common after 12 months of experience.</w:t>
      </w:r>
    </w:p>
    <w:p>
      <w:pPr>
        <w:spacing w:before="120"/>
      </w:pPr>
      <w:r>
        <w:rPr>
          <w:rFonts w:ascii="Arial" w:hAnsi="Arial"/>
          <w:b/>
          <w:i w:val="0"/>
          <w:color w:val="2D6A4F"/>
          <w:sz w:val="18"/>
        </w:rPr>
        <w:t xml:space="preserve">Career Ladder:  </w:t>
      </w:r>
      <w:r>
        <w:rPr>
          <w:rFonts w:ascii="Arial" w:hAnsi="Arial"/>
          <w:b w:val="0"/>
          <w:i/>
          <w:color w:val="1A1A1A"/>
          <w:sz w:val="18"/>
        </w:rPr>
        <w:t>Year 1: Medical Biller  →  Year 3: Senior Biller / Billing Supervisor  →  Year 5+: Revenue Cycle Manager</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60" w:after="40"/>
            </w:pPr>
            <w:r>
              <w:rPr>
                <w:rFonts w:ascii="Arial" w:hAnsi="Arial"/>
                <w:b/>
                <w:i w:val="0"/>
                <w:color w:val="FFFFFF"/>
                <w:sz w:val="22"/>
              </w:rPr>
              <w:t>PATHWAY 2  —  MOBILITY</w:t>
            </w:r>
          </w:p>
          <w:p>
            <w:pPr>
              <w:spacing w:before="40" w:after="200"/>
            </w:pPr>
            <w:r>
              <w:rPr>
                <w:rFonts w:ascii="Arial" w:hAnsi="Arial"/>
                <w:b/>
                <w:i w:val="0"/>
                <w:color w:val="FFFFFF"/>
                <w:sz w:val="32"/>
              </w:rPr>
              <w:t>Healthcare Coordinator</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38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E07B39"/>
                <w:sz w:val="26"/>
              </w:rPr>
              <w:t>MEDIUM</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2/5  —  Many coordinator roles accept HHA experience plus an administrative certificate in lieu of a degree</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Healthcare coordinator is your primary income target and the role most aligned with what you already do as an HHA. You already manage care schedules, communicate with families, and track patient needs. Adding a coordinator title formalizes those skills into a salaried administrative role with benefits, predictable hours, and a clear advancement track.</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9–12 months  (may step through billing/coding first as a bridge)</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$40,000  →  Year 3 $50,000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Schedule: Coordinator roles are typically Monday to Friday, daytime hours. No evenings or weekends. This is a structural improvement over HHA shift work.</w:t>
      </w:r>
    </w:p>
    <w:p>
      <w:pPr>
        <w:pStyle w:val="ListBullet"/>
        <w:spacing w:before="20" w:after="20"/>
      </w:pPr>
      <w:r>
        <w:rPr>
          <w:rFonts w:ascii="Arial" w:hAnsi="Arial"/>
          <w:b w:val="0"/>
          <w:i w:val="0"/>
          <w:color w:val="1A1A1A"/>
          <w:sz w:val="18"/>
        </w:rPr>
        <w:t>Childcare: Predictable schedule makes childcare planning straightforward. A significant improvement over the current role.</w:t>
      </w:r>
    </w:p>
    <w:p>
      <w:pPr>
        <w:pStyle w:val="ListBullet"/>
        <w:spacing w:before="20" w:after="20"/>
      </w:pPr>
      <w:r>
        <w:rPr>
          <w:rFonts w:ascii="Arial" w:hAnsi="Arial"/>
          <w:b w:val="0"/>
          <w:i w:val="0"/>
          <w:color w:val="1A1A1A"/>
          <w:sz w:val="18"/>
        </w:rPr>
        <w:t>Budget: A medical administrative assistant certificate (online, $1,500–$2,500) plus your HHA experience is sufficient for many coordinator entry roles in Ohio.</w:t>
      </w:r>
    </w:p>
    <w:p>
      <w:pPr>
        <w:pStyle w:val="ListBullet"/>
        <w:spacing w:before="20" w:after="20"/>
      </w:pPr>
      <w:r>
        <w:rPr>
          <w:rFonts w:ascii="Arial" w:hAnsi="Arial"/>
          <w:b w:val="0"/>
          <w:i w:val="0"/>
          <w:color w:val="1A1A1A"/>
          <w:sz w:val="18"/>
        </w:rPr>
        <w:t>Ohio market: Columbus and Cleveland have strong hospital systems (OhioHealth, Cleveland Clinic, MetroHealth) actively hiring coordinators. Starting salaries are $38,000–$42,000.</w:t>
      </w:r>
    </w:p>
    <w:p>
      <w:pPr>
        <w:spacing w:before="120"/>
      </w:pPr>
      <w:r>
        <w:rPr>
          <w:rFonts w:ascii="Arial" w:hAnsi="Arial"/>
          <w:b/>
          <w:i w:val="0"/>
          <w:color w:val="1F3864"/>
          <w:sz w:val="18"/>
        </w:rPr>
        <w:t xml:space="preserve">Career Ladder:  </w:t>
      </w:r>
      <w:r>
        <w:rPr>
          <w:rFonts w:ascii="Arial" w:hAnsi="Arial"/>
          <w:b w:val="0"/>
          <w:i/>
          <w:color w:val="1A1A1A"/>
          <w:sz w:val="18"/>
        </w:rPr>
        <w:t>Year 1: Healthcare Coordinator (entry)  →  Year 3: Senior Coordinator / Care Manager  →  Year 5+: Practice Manager / Office Director</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B8540A"/>
          </w:tcPr>
          <w:p>
            <w:pPr>
              <w:spacing w:before="160" w:after="40"/>
            </w:pPr>
            <w:r>
              <w:rPr>
                <w:rFonts w:ascii="Arial" w:hAnsi="Arial"/>
                <w:b/>
                <w:i w:val="0"/>
                <w:color w:val="FFFFFF"/>
                <w:sz w:val="22"/>
              </w:rPr>
              <w:t>PATHWAY 3  —  STRETCH</w:t>
            </w:r>
          </w:p>
          <w:p>
            <w:pPr>
              <w:spacing w:before="40" w:after="200"/>
            </w:pPr>
            <w:r>
              <w:rPr>
                <w:rFonts w:ascii="Arial" w:hAnsi="Arial"/>
                <w:b/>
                <w:i w:val="0"/>
                <w:color w:val="FFFFFF"/>
                <w:sz w:val="32"/>
              </w:rPr>
              <w:t>Medical Office Manager</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29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888888"/>
                <w:sz w:val="26"/>
              </w:rPr>
              <w:t>LOW</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3/5  —  Typically requires coordinator experience plus an associate degree or management credential</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Medical office manager is your highest long-term target and a realistic 4 to 5 year horizon from where you are today. Most office manager roles require 2 to 3 years of coordinator experience plus a business or healthcare administration credential. This is included as a planning milestone, not an immediate goal.</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24–36 months  (coordinator experience required first)</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$50,000  →  Year 3 $62,000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Schedule: Office manager roles are standard business hours. Fully compatible with your family schedule.</w:t>
      </w:r>
    </w:p>
    <w:p>
      <w:pPr>
        <w:pStyle w:val="ListBullet"/>
        <w:spacing w:before="20" w:after="20"/>
      </w:pPr>
      <w:r>
        <w:rPr>
          <w:rFonts w:ascii="Arial" w:hAnsi="Arial"/>
          <w:b w:val="0"/>
          <w:i w:val="0"/>
          <w:color w:val="1A1A1A"/>
          <w:sz w:val="18"/>
        </w:rPr>
        <w:t>Credential path: A Healthcare Administration Associate degree from Columbus State (online, evening-optional) is the most direct bridge from coordinator to manager.</w:t>
      </w:r>
    </w:p>
    <w:p>
      <w:pPr>
        <w:pStyle w:val="ListBullet"/>
        <w:spacing w:before="20" w:after="20"/>
      </w:pPr>
      <w:r>
        <w:rPr>
          <w:rFonts w:ascii="Arial" w:hAnsi="Arial"/>
          <w:b w:val="0"/>
          <w:i w:val="0"/>
          <w:color w:val="1A1A1A"/>
          <w:sz w:val="18"/>
        </w:rPr>
        <w:t>Budget: Associate degree programs run $6,000–$12,000. WIOA and Pell Grants can cover significant costs.</w:t>
      </w:r>
    </w:p>
    <w:p>
      <w:pPr>
        <w:pStyle w:val="ListBullet"/>
        <w:spacing w:before="20" w:after="20"/>
      </w:pPr>
      <w:r>
        <w:rPr>
          <w:rFonts w:ascii="Arial" w:hAnsi="Arial"/>
          <w:b w:val="0"/>
          <w:i w:val="0"/>
          <w:color w:val="1A1A1A"/>
          <w:sz w:val="18"/>
        </w:rPr>
        <w:t>Ohio market: Columbus is a major healthcare hub. Medical office managers with coordinator backgrounds are well-compensated at $52,000–$68,000.</w:t>
      </w:r>
    </w:p>
    <w:p>
      <w:pPr>
        <w:spacing w:before="120"/>
      </w:pPr>
      <w:r>
        <w:rPr>
          <w:rFonts w:ascii="Arial" w:hAnsi="Arial"/>
          <w:b/>
          <w:i w:val="0"/>
          <w:color w:val="B8540A"/>
          <w:sz w:val="18"/>
        </w:rPr>
        <w:t xml:space="preserve">Career Ladder:  </w:t>
      </w:r>
      <w:r>
        <w:rPr>
          <w:rFonts w:ascii="Arial" w:hAnsi="Arial"/>
          <w:b w:val="0"/>
          <w:i/>
          <w:color w:val="1A1A1A"/>
          <w:sz w:val="18"/>
        </w:rPr>
        <w:t>Year 1–2: Healthcare Coordinator  →  Year 3–4: Senior Coordinator / Lead  →  Year 5+: Medical Office Manager / Practice Director</w:t>
      </w:r>
    </w:p>
    <w:p>
      <w:pPr>
        <w:spacing w:before="200" w:after="200"/>
      </w:pPr>
    </w:p>
    <w:p>
      <w:pPr>
        <w:spacing w:before="280" w:after="80"/>
      </w:pPr>
      <w:r>
        <w:rPr>
          <w:rFonts w:ascii="Arial" w:hAnsi="Arial"/>
          <w:b/>
          <w:i w:val="0"/>
          <w:color w:val="1F3864"/>
          <w:sz w:val="26"/>
        </w:rPr>
        <w:t>Income Mobility Projection</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120"/>
      </w:pPr>
      <w:r>
        <w:rPr>
          <w:rFonts w:ascii="Arial" w:hAnsi="Arial"/>
          <w:b w:val="0"/>
          <w:i w:val="0"/>
          <w:color w:val="444444"/>
          <w:sz w:val="20"/>
        </w:rPr>
        <w:t>The projection below is based on the Medical Billing/Coding to Healthcare Coordinator progression. The recommended plan is to earn your billing certification first as a stable income upgrade, then move into a coordinator role using that credential plus your HHA experience.</w:t>
      </w:r>
    </w:p>
    <w:p>
      <w:pPr>
        <w:spacing w:before="120" w:after="120"/>
        <w:jc w:val="center"/>
      </w:pPr>
      <w:r>
        <w:rPr>
          <w:rFonts w:ascii="Arial" w:hAnsi="Arial"/>
          <w:b/>
          <w:i w:val="0"/>
          <w:color w:val="1F3864"/>
          <w:sz w:val="22"/>
        </w:rPr>
        <w:t>Projected Income Growth Based on Recommended Career Pathway</w:t>
      </w:r>
    </w:p>
    <w:tbl>
      <w:tblPr>
        <w:tblStyle w:val="TableGrid"/>
        <w:tblW w:type="auto" w:w="0"/>
        <w:tblLook w:firstColumn="1" w:firstRow="1" w:lastColumn="0" w:lastRow="0" w:noHBand="0" w:noVBand="1" w:val="04A0"/>
      </w:tblPr>
      <w:tblGrid>
        <w:gridCol w:w="2340"/>
        <w:gridCol w:w="2340"/>
        <w:gridCol w:w="2340"/>
        <w:gridCol w:w="2340"/>
      </w:tblGrid>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c>
          <w:tcPr>
            <w:tcW w:type="dxa" w:w="2340"/>
            <w:shd w:val="clear" w:color="auto" w:fill="F5F5F5"/>
          </w:tcPr>
          <w:p>
            <w:pPr>
              <w:spacing w:before="80" w:after="40"/>
              <w:jc w:val="center"/>
            </w:pPr>
            <w:r>
              <w:rPr>
                <w:rFonts w:ascii="Arial" w:hAnsi="Arial"/>
                <w:b/>
                <w:i w:val="0"/>
                <w:color w:val="C0392B"/>
                <w:sz w:val="22"/>
              </w:rPr>
              <w:t>$28K</w:t>
            </w:r>
          </w:p>
        </w:tc>
        <w:tc>
          <w:tcPr>
            <w:tcW w:type="dxa" w:w="2340"/>
            <w:shd w:val="clear" w:color="auto" w:fill="F5F5F5"/>
          </w:tcPr>
          <w:p>
            <w:pPr>
              <w:spacing w:before="80" w:after="40"/>
              <w:jc w:val="center"/>
            </w:pPr>
            <w:r>
              <w:rPr>
                <w:rFonts w:ascii="Arial" w:hAnsi="Arial"/>
                <w:b/>
                <w:i w:val="0"/>
                <w:color w:val="2D6A4F"/>
                <w:sz w:val="22"/>
              </w:rPr>
              <w:t>$38K</w:t>
            </w:r>
          </w:p>
        </w:tc>
        <w:tc>
          <w:tcPr>
            <w:tcW w:type="dxa" w:w="2340"/>
            <w:shd w:val="clear" w:color="auto" w:fill="F5F5F5"/>
          </w:tcPr>
          <w:p>
            <w:pPr>
              <w:spacing w:before="80" w:after="40"/>
              <w:jc w:val="center"/>
            </w:pPr>
            <w:r>
              <w:rPr>
                <w:rFonts w:ascii="Arial" w:hAnsi="Arial"/>
                <w:b/>
                <w:i w:val="0"/>
                <w:color w:val="1F7A8C"/>
                <w:sz w:val="22"/>
              </w:rPr>
              <w:t>$46K</w:t>
            </w:r>
          </w:p>
        </w:tc>
        <w:tc>
          <w:tcPr>
            <w:tcW w:type="dxa" w:w="2340"/>
            <w:shd w:val="clear" w:color="auto" w:fill="F5F5F5"/>
          </w:tcPr>
          <w:p>
            <w:pPr>
              <w:spacing w:before="80" w:after="40"/>
              <w:jc w:val="center"/>
            </w:pPr>
            <w:r>
              <w:rPr>
                <w:rFonts w:ascii="Arial" w:hAnsi="Arial"/>
                <w:b/>
                <w:i w:val="0"/>
                <w:color w:val="34547A"/>
                <w:sz w:val="22"/>
              </w:rPr>
              <w:t>$56K</w:t>
            </w:r>
          </w:p>
        </w:tc>
      </w:tr>
      <w:tr>
        <w:tc>
          <w:tcPr>
            <w:tcW w:type="dxa" w:w="2340"/>
            <w:shd w:val="clear" w:color="auto" w:fill="1F3864"/>
          </w:tcPr>
          <w:p>
            <w:pPr>
              <w:spacing w:before="100" w:after="100"/>
              <w:jc w:val="center"/>
            </w:pPr>
            <w:r>
              <w:rPr>
                <w:rFonts w:ascii="Arial" w:hAnsi="Arial"/>
                <w:b/>
                <w:i w:val="0"/>
                <w:color w:val="FFFFFF"/>
                <w:sz w:val="18"/>
              </w:rPr>
              <w:t>Today</w:t>
              <w:br/>
            </w:r>
            <w:r>
              <w:rPr>
                <w:rFonts w:ascii="Arial" w:hAnsi="Arial"/>
                <w:b w:val="0"/>
                <w:i/>
                <w:color w:val="CCDDEE"/>
                <w:sz w:val="16"/>
              </w:rPr>
              <w:t>HHA full-time</w:t>
            </w:r>
          </w:p>
        </w:tc>
        <w:tc>
          <w:tcPr>
            <w:tcW w:type="dxa" w:w="2340"/>
            <w:shd w:val="clear" w:color="auto" w:fill="1F3864"/>
          </w:tcPr>
          <w:p>
            <w:pPr>
              <w:spacing w:before="100" w:after="100"/>
              <w:jc w:val="center"/>
            </w:pPr>
            <w:r>
              <w:rPr>
                <w:rFonts w:ascii="Arial" w:hAnsi="Arial"/>
                <w:b/>
                <w:i w:val="0"/>
                <w:color w:val="FFFFFF"/>
                <w:sz w:val="18"/>
              </w:rPr>
              <w:t>Year 1</w:t>
              <w:br/>
            </w:r>
            <w:r>
              <w:rPr>
                <w:rFonts w:ascii="Arial" w:hAnsi="Arial"/>
                <w:b w:val="0"/>
                <w:i/>
                <w:color w:val="CCDDEE"/>
                <w:sz w:val="16"/>
              </w:rPr>
              <w:t>Med Billing/Coord</w:t>
            </w:r>
          </w:p>
        </w:tc>
        <w:tc>
          <w:tcPr>
            <w:tcW w:type="dxa" w:w="2340"/>
            <w:shd w:val="clear" w:color="auto" w:fill="1F3864"/>
          </w:tcPr>
          <w:p>
            <w:pPr>
              <w:spacing w:before="100" w:after="100"/>
              <w:jc w:val="center"/>
            </w:pPr>
            <w:r>
              <w:rPr>
                <w:rFonts w:ascii="Arial" w:hAnsi="Arial"/>
                <w:b/>
                <w:i w:val="0"/>
                <w:color w:val="FFFFFF"/>
                <w:sz w:val="18"/>
              </w:rPr>
              <w:t>Year 3</w:t>
              <w:br/>
            </w:r>
            <w:r>
              <w:rPr>
                <w:rFonts w:ascii="Arial" w:hAnsi="Arial"/>
                <w:b w:val="0"/>
                <w:i/>
                <w:color w:val="CCDDEE"/>
                <w:sz w:val="16"/>
              </w:rPr>
              <w:t>HC Coordinator</w:t>
            </w:r>
          </w:p>
        </w:tc>
        <w:tc>
          <w:tcPr>
            <w:tcW w:type="dxa" w:w="2340"/>
            <w:shd w:val="clear" w:color="auto" w:fill="1F3864"/>
          </w:tcPr>
          <w:p>
            <w:pPr>
              <w:spacing w:before="100" w:after="100"/>
              <w:jc w:val="center"/>
            </w:pPr>
            <w:r>
              <w:rPr>
                <w:rFonts w:ascii="Arial" w:hAnsi="Arial"/>
                <w:b/>
                <w:i w:val="0"/>
                <w:color w:val="FFFFFF"/>
                <w:sz w:val="18"/>
              </w:rPr>
              <w:t>Year 5+</w:t>
              <w:br/>
            </w:r>
            <w:r>
              <w:rPr>
                <w:rFonts w:ascii="Arial" w:hAnsi="Arial"/>
                <w:b w:val="0"/>
                <w:i/>
                <w:color w:val="CCDDEE"/>
                <w:sz w:val="16"/>
              </w:rPr>
              <w:t>Office Manager</w:t>
            </w:r>
          </w:p>
        </w:tc>
      </w:tr>
    </w:tbl>
    <w:p>
      <w:pPr>
        <w:spacing w:before="80" w:after="80"/>
      </w:pPr>
    </w:p>
    <w:p>
      <w:pPr>
        <w:spacing w:before="40" w:after="40"/>
        <w:jc w:val="center"/>
      </w:pPr>
      <w:r>
        <w:rPr>
          <w:rFonts w:ascii="Arial" w:hAnsi="Arial"/>
          <w:b w:val="0"/>
          <w:i/>
          <w:color w:val="444444"/>
          <w:sz w:val="16"/>
        </w:rPr>
        <w:t>Projected earnings based on Medical Billing/Coding to Healthcare Coordinator progression using Ohio labor market wage data and typical full-time employment scenarios.</w:t>
      </w:r>
    </w:p>
    <w:p>
      <w:pPr>
        <w:spacing w:before="0" w:after="120"/>
        <w:jc w:val="center"/>
      </w:pPr>
      <w:r>
        <w:rPr>
          <w:rFonts w:ascii="Arial" w:hAnsi="Arial"/>
          <w:b w:val="0"/>
          <w:i/>
          <w:color w:val="888888"/>
          <w:sz w:val="16"/>
        </w:rPr>
        <w:t>Actual wages may vary depending on employer, shift differential, and experience.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00" w:after="100"/>
            </w:pPr>
            <w:r>
              <w:rPr>
                <w:rFonts w:ascii="Arial" w:hAnsi="Arial"/>
                <w:b/>
                <w:i w:val="0"/>
                <w:color w:val="FFFFFF"/>
                <w:sz w:val="18"/>
              </w:rPr>
              <w:t>YEAR</w:t>
            </w:r>
          </w:p>
        </w:tc>
        <w:tc>
          <w:tcPr>
            <w:tcW w:type="dxa" w:w="3120"/>
            <w:shd w:val="clear" w:color="auto" w:fill="1F3864"/>
          </w:tcPr>
          <w:p>
            <w:pPr>
              <w:spacing w:before="100" w:after="100"/>
            </w:pPr>
            <w:r>
              <w:rPr>
                <w:rFonts w:ascii="Arial" w:hAnsi="Arial"/>
                <w:b/>
                <w:i w:val="0"/>
                <w:color w:val="FFFFFF"/>
                <w:sz w:val="18"/>
              </w:rPr>
              <w:t>ROLE</w:t>
            </w:r>
          </w:p>
        </w:tc>
        <w:tc>
          <w:tcPr>
            <w:tcW w:type="dxa" w:w="3120"/>
            <w:shd w:val="clear" w:color="auto" w:fill="1F3864"/>
          </w:tcPr>
          <w:p>
            <w:pPr>
              <w:spacing w:before="100" w:after="100"/>
            </w:pPr>
            <w:r>
              <w:rPr>
                <w:rFonts w:ascii="Arial" w:hAnsi="Arial"/>
                <w:b/>
                <w:i w:val="0"/>
                <w:color w:val="FFFFFF"/>
                <w:sz w:val="18"/>
              </w:rPr>
              <w:t>INCOME</w:t>
            </w:r>
          </w:p>
        </w:tc>
      </w:tr>
      <w:tr>
        <w:tc>
          <w:tcPr>
            <w:tcW w:type="dxa" w:w="3120"/>
            <w:shd w:val="clear" w:color="auto" w:fill="FFF3F3"/>
          </w:tcPr>
          <w:p>
            <w:pPr>
              <w:spacing w:before="100" w:after="100"/>
            </w:pPr>
            <w:r>
              <w:rPr>
                <w:rFonts w:ascii="Arial" w:hAnsi="Arial"/>
                <w:b w:val="0"/>
                <w:i w:val="0"/>
                <w:color w:val="1A1A1A"/>
                <w:sz w:val="18"/>
              </w:rPr>
              <w:t>Today</w:t>
            </w:r>
          </w:p>
        </w:tc>
        <w:tc>
          <w:tcPr>
            <w:tcW w:type="dxa" w:w="3120"/>
            <w:shd w:val="clear" w:color="auto" w:fill="FFF3F3"/>
          </w:tcPr>
          <w:p>
            <w:pPr>
              <w:spacing w:before="100" w:after="100"/>
            </w:pPr>
            <w:r>
              <w:rPr>
                <w:rFonts w:ascii="Arial" w:hAnsi="Arial"/>
                <w:b w:val="0"/>
                <w:i w:val="0"/>
                <w:color w:val="1A1A1A"/>
                <w:sz w:val="18"/>
              </w:rPr>
              <w:t>Home Health Aide (full-time)</w:t>
            </w:r>
          </w:p>
        </w:tc>
        <w:tc>
          <w:tcPr>
            <w:tcW w:type="dxa" w:w="3120"/>
            <w:shd w:val="clear" w:color="auto" w:fill="FFF3F3"/>
          </w:tcPr>
          <w:p>
            <w:pPr>
              <w:spacing w:before="100" w:after="100"/>
            </w:pPr>
            <w:r>
              <w:rPr>
                <w:rFonts w:ascii="Arial" w:hAnsi="Arial"/>
                <w:b/>
                <w:i w:val="0"/>
                <w:color w:val="1F3864"/>
                <w:sz w:val="18"/>
              </w:rPr>
              <w:t>~$28,000/year</w:t>
            </w:r>
          </w:p>
        </w:tc>
      </w:tr>
      <w:tr>
        <w:tc>
          <w:tcPr>
            <w:tcW w:type="dxa" w:w="3120"/>
            <w:shd w:val="clear" w:color="auto" w:fill="EEF7F9"/>
          </w:tcPr>
          <w:p>
            <w:pPr>
              <w:spacing w:before="100" w:after="100"/>
            </w:pPr>
            <w:r>
              <w:rPr>
                <w:rFonts w:ascii="Arial" w:hAnsi="Arial"/>
                <w:b w:val="0"/>
                <w:i w:val="0"/>
                <w:color w:val="1A1A1A"/>
                <w:sz w:val="18"/>
              </w:rPr>
              <w:t>Year 1</w:t>
            </w:r>
          </w:p>
        </w:tc>
        <w:tc>
          <w:tcPr>
            <w:tcW w:type="dxa" w:w="3120"/>
            <w:shd w:val="clear" w:color="auto" w:fill="EEF7F9"/>
          </w:tcPr>
          <w:p>
            <w:pPr>
              <w:spacing w:before="100" w:after="100"/>
            </w:pPr>
            <w:r>
              <w:rPr>
                <w:rFonts w:ascii="Arial" w:hAnsi="Arial"/>
                <w:b w:val="0"/>
                <w:i w:val="0"/>
                <w:color w:val="1A1A1A"/>
                <w:sz w:val="18"/>
              </w:rPr>
              <w:t>Medical Billing and Coding Specialist</w:t>
            </w:r>
          </w:p>
        </w:tc>
        <w:tc>
          <w:tcPr>
            <w:tcW w:type="dxa" w:w="3120"/>
            <w:shd w:val="clear" w:color="auto" w:fill="EEF7F9"/>
          </w:tcPr>
          <w:p>
            <w:pPr>
              <w:spacing w:before="100" w:after="100"/>
            </w:pPr>
            <w:r>
              <w:rPr>
                <w:rFonts w:ascii="Arial" w:hAnsi="Arial"/>
                <w:b/>
                <w:i w:val="0"/>
                <w:color w:val="1F3864"/>
                <w:sz w:val="18"/>
              </w:rPr>
              <w:t>$36,000–$40,000/year</w:t>
            </w:r>
          </w:p>
        </w:tc>
      </w:tr>
      <w:tr>
        <w:tc>
          <w:tcPr>
            <w:tcW w:type="dxa" w:w="3120"/>
            <w:shd w:val="clear" w:color="auto" w:fill="E8F5E9"/>
          </w:tcPr>
          <w:p>
            <w:pPr>
              <w:spacing w:before="100" w:after="100"/>
            </w:pPr>
            <w:r>
              <w:rPr>
                <w:rFonts w:ascii="Arial" w:hAnsi="Arial"/>
                <w:b w:val="0"/>
                <w:i w:val="0"/>
                <w:color w:val="1A1A1A"/>
                <w:sz w:val="18"/>
              </w:rPr>
              <w:t>Year 3</w:t>
            </w:r>
          </w:p>
        </w:tc>
        <w:tc>
          <w:tcPr>
            <w:tcW w:type="dxa" w:w="3120"/>
            <w:shd w:val="clear" w:color="auto" w:fill="E8F5E9"/>
          </w:tcPr>
          <w:p>
            <w:pPr>
              <w:spacing w:before="100" w:after="100"/>
            </w:pPr>
            <w:r>
              <w:rPr>
                <w:rFonts w:ascii="Arial" w:hAnsi="Arial"/>
                <w:b w:val="0"/>
                <w:i w:val="0"/>
                <w:color w:val="1A1A1A"/>
                <w:sz w:val="18"/>
              </w:rPr>
              <w:t>Healthcare Coordinator</w:t>
            </w:r>
          </w:p>
        </w:tc>
        <w:tc>
          <w:tcPr>
            <w:tcW w:type="dxa" w:w="3120"/>
            <w:shd w:val="clear" w:color="auto" w:fill="E8F5E9"/>
          </w:tcPr>
          <w:p>
            <w:pPr>
              <w:spacing w:before="100" w:after="100"/>
            </w:pPr>
            <w:r>
              <w:rPr>
                <w:rFonts w:ascii="Arial" w:hAnsi="Arial"/>
                <w:b/>
                <w:i w:val="0"/>
                <w:color w:val="1F3864"/>
                <w:sz w:val="18"/>
              </w:rPr>
              <w:t>$44,000–$50,000/year</w:t>
            </w:r>
          </w:p>
        </w:tc>
      </w:tr>
      <w:tr>
        <w:tc>
          <w:tcPr>
            <w:tcW w:type="dxa" w:w="3120"/>
            <w:shd w:val="clear" w:color="auto" w:fill="E0F0FF"/>
          </w:tcPr>
          <w:p>
            <w:pPr>
              <w:spacing w:before="100" w:after="100"/>
            </w:pPr>
            <w:r>
              <w:rPr>
                <w:rFonts w:ascii="Arial" w:hAnsi="Arial"/>
                <w:b w:val="0"/>
                <w:i w:val="0"/>
                <w:color w:val="1A1A1A"/>
                <w:sz w:val="18"/>
              </w:rPr>
              <w:t>Year 5+</w:t>
            </w:r>
          </w:p>
        </w:tc>
        <w:tc>
          <w:tcPr>
            <w:tcW w:type="dxa" w:w="3120"/>
            <w:shd w:val="clear" w:color="auto" w:fill="E0F0FF"/>
          </w:tcPr>
          <w:p>
            <w:pPr>
              <w:spacing w:before="100" w:after="100"/>
            </w:pPr>
            <w:r>
              <w:rPr>
                <w:rFonts w:ascii="Arial" w:hAnsi="Arial"/>
                <w:b w:val="0"/>
                <w:i w:val="0"/>
                <w:color w:val="1A1A1A"/>
                <w:sz w:val="18"/>
              </w:rPr>
              <w:t>Senior Coordinator / Practice Manager</w:t>
            </w:r>
          </w:p>
        </w:tc>
        <w:tc>
          <w:tcPr>
            <w:tcW w:type="dxa" w:w="3120"/>
            <w:shd w:val="clear" w:color="auto" w:fill="E0F0FF"/>
          </w:tcPr>
          <w:p>
            <w:pPr>
              <w:spacing w:before="100" w:after="100"/>
            </w:pPr>
            <w:r>
              <w:rPr>
                <w:rFonts w:ascii="Arial" w:hAnsi="Arial"/>
                <w:b/>
                <w:i w:val="0"/>
                <w:color w:val="1F3864"/>
                <w:sz w:val="18"/>
              </w:rPr>
              <w:t>$54,000–$64,000/year</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Training Investment</w:t>
            </w:r>
          </w:p>
        </w:tc>
        <w:tc>
          <w:tcPr>
            <w:tcW w:type="dxa" w:w="4680"/>
            <w:shd w:val="clear" w:color="auto" w:fill="F5F5F5"/>
          </w:tcPr>
          <w:p>
            <w:pPr>
              <w:spacing w:before="100" w:after="100"/>
            </w:pPr>
            <w:r>
              <w:rPr>
                <w:rFonts w:ascii="Arial" w:hAnsi="Arial"/>
                <w:b w:val="0"/>
                <w:i w:val="0"/>
                <w:color w:val="1A1A1A"/>
                <w:sz w:val="18"/>
              </w:rPr>
              <w:t>$1,500–$3,000  (WIOA may cover full cost)</w:t>
            </w:r>
          </w:p>
        </w:tc>
      </w:tr>
      <w:tr>
        <w:tc>
          <w:tcPr>
            <w:tcW w:type="dxa" w:w="4680"/>
            <w:shd w:val="clear" w:color="auto" w:fill="FFFFFF"/>
          </w:tcPr>
          <w:p>
            <w:pPr>
              <w:spacing w:before="100" w:after="100"/>
            </w:pPr>
            <w:r>
              <w:rPr>
                <w:rFonts w:ascii="Arial" w:hAnsi="Arial"/>
                <w:b/>
                <w:i w:val="0"/>
                <w:color w:val="1F7A8C"/>
                <w:sz w:val="18"/>
              </w:rPr>
              <w:t>Break-Even</w:t>
            </w:r>
          </w:p>
        </w:tc>
        <w:tc>
          <w:tcPr>
            <w:tcW w:type="dxa" w:w="4680"/>
            <w:shd w:val="clear" w:color="auto" w:fill="FFFFFF"/>
          </w:tcPr>
          <w:p>
            <w:pPr>
              <w:spacing w:before="100" w:after="100"/>
            </w:pPr>
            <w:r>
              <w:rPr>
                <w:rFonts w:ascii="Arial" w:hAnsi="Arial"/>
                <w:b w:val="0"/>
                <w:i w:val="0"/>
                <w:color w:val="1A1A1A"/>
                <w:sz w:val="18"/>
              </w:rPr>
              <w:t>Month 3–4 after completing billing program  (salary increase covers training cost quickly)</w:t>
            </w:r>
          </w:p>
        </w:tc>
      </w:tr>
      <w:tr>
        <w:tc>
          <w:tcPr>
            <w:tcW w:type="dxa" w:w="4680"/>
            <w:shd w:val="clear" w:color="auto" w:fill="F5F5F5"/>
          </w:tcPr>
          <w:p>
            <w:pPr>
              <w:spacing w:before="100" w:after="100"/>
            </w:pPr>
            <w:r>
              <w:rPr>
                <w:rFonts w:ascii="Arial" w:hAnsi="Arial"/>
                <w:b/>
                <w:i w:val="0"/>
                <w:color w:val="1F7A8C"/>
                <w:sz w:val="18"/>
              </w:rPr>
              <w:t>5-Year Earnings Gain</w:t>
            </w:r>
          </w:p>
        </w:tc>
        <w:tc>
          <w:tcPr>
            <w:tcW w:type="dxa" w:w="4680"/>
            <w:shd w:val="clear" w:color="auto" w:fill="F5F5F5"/>
          </w:tcPr>
          <w:p>
            <w:pPr>
              <w:spacing w:before="100" w:after="100"/>
            </w:pPr>
            <w:r>
              <w:rPr>
                <w:rFonts w:ascii="Arial" w:hAnsi="Arial"/>
                <w:b w:val="0"/>
                <w:i w:val="0"/>
                <w:color w:val="1A1A1A"/>
                <w:sz w:val="18"/>
              </w:rPr>
              <w:t>~$94,000 more than staying as an HHA</w:t>
            </w:r>
          </w:p>
        </w:tc>
      </w:tr>
    </w:tbl>
    <w:p>
      <w:pPr>
        <w:spacing w:before="120" w:after="120"/>
      </w:pPr>
    </w:p>
    <w:p>
      <w:pPr>
        <w:spacing w:before="160" w:after="160"/>
      </w:pPr>
      <w:r>
        <w:rPr>
          <w:rFonts w:ascii="Arial" w:hAnsi="Arial"/>
          <w:b w:val="0"/>
          <w:i/>
          <w:color w:val="1F3864"/>
          <w:sz w:val="20"/>
        </w:rPr>
        <w:t>You have been doing coordinator-level work as an HHA for six years without coordinator-level pay. A fully online billing and coding program, completed on your own schedule in 6 to 8 months, is the bridge that formally moves you into the administrative track. By year three you are earning $44,000 to $50,000 as a healthcare coordinator, with predictable hours and no weekend shifts. Over five years, this path is worth approximately $94,000 more in earnings than staying in your current role.</w:t>
      </w:r>
    </w:p>
    <w:p>
      <w:pPr>
        <w:spacing w:before="280" w:after="80"/>
      </w:pPr>
      <w:r>
        <w:rPr>
          <w:rFonts w:ascii="Arial" w:hAnsi="Arial"/>
          <w:b/>
          <w:i w:val="0"/>
          <w:color w:val="1F3864"/>
          <w:sz w:val="26"/>
        </w:rPr>
        <w:t>Skills Gap Analysis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80"/>
      </w:pPr>
      <w:r>
        <w:rPr>
          <w:rFonts w:ascii="Arial" w:hAnsi="Arial"/>
          <w:b/>
          <w:i w:val="0"/>
          <w:color w:val="2D6A4F"/>
          <w:sz w:val="20"/>
        </w:rPr>
        <w:t>What you already have:</w:t>
      </w:r>
    </w:p>
    <w:p>
      <w:pPr>
        <w:pStyle w:val="ListBullet"/>
        <w:spacing w:before="40" w:after="40"/>
      </w:pPr>
      <w:r>
        <w:rPr>
          <w:rFonts w:ascii="Arial" w:hAnsi="Arial"/>
          <w:b w:val="0"/>
          <w:i w:val="0"/>
          <w:color w:val="1A1A1A"/>
          <w:sz w:val="18"/>
        </w:rPr>
        <w:t>Clinical documentation: six years of daily charting and care plan documentation is directly transferable to medical coding and coordinator records management</w:t>
      </w:r>
    </w:p>
    <w:p>
      <w:pPr>
        <w:pStyle w:val="ListBullet"/>
        <w:spacing w:before="40" w:after="40"/>
      </w:pPr>
      <w:r>
        <w:rPr>
          <w:rFonts w:ascii="Arial" w:hAnsi="Arial"/>
          <w:b w:val="0"/>
          <w:i w:val="0"/>
          <w:color w:val="1A1A1A"/>
          <w:sz w:val="18"/>
        </w:rPr>
        <w:t>Family and patient communication: explaining care plans to families is the core communication skill that healthcare coordinators use every day</w:t>
      </w:r>
    </w:p>
    <w:p>
      <w:pPr>
        <w:pStyle w:val="ListBullet"/>
        <w:spacing w:before="40" w:after="40"/>
      </w:pPr>
      <w:r>
        <w:rPr>
          <w:rFonts w:ascii="Arial" w:hAnsi="Arial"/>
          <w:b w:val="0"/>
          <w:i w:val="0"/>
          <w:color w:val="1A1A1A"/>
          <w:sz w:val="18"/>
        </w:rPr>
        <w:t>Care coordination: managing schedules, medications, and appointments for multiple patients is exactly what coordinator roles formalize</w:t>
      </w:r>
    </w:p>
    <w:p>
      <w:pPr>
        <w:pStyle w:val="ListBullet"/>
        <w:spacing w:before="40" w:after="40"/>
      </w:pPr>
      <w:r>
        <w:rPr>
          <w:rFonts w:ascii="Arial" w:hAnsi="Arial"/>
          <w:b w:val="0"/>
          <w:i w:val="0"/>
          <w:color w:val="1A1A1A"/>
          <w:sz w:val="18"/>
        </w:rPr>
        <w:t>Reliability under pressure: six years of consistent full-time HHA work signals the dependability that administrative employers prioritize</w:t>
      </w:r>
    </w:p>
    <w:p>
      <w:pPr>
        <w:pStyle w:val="ListBullet"/>
        <w:spacing w:before="40" w:after="40"/>
      </w:pPr>
      <w:r>
        <w:rPr>
          <w:rFonts w:ascii="Arial" w:hAnsi="Arial"/>
          <w:b w:val="0"/>
          <w:i w:val="0"/>
          <w:color w:val="1A1A1A"/>
          <w:sz w:val="18"/>
        </w:rPr>
        <w:t>Healthcare system knowledge: you understand how patients move through care, what facilities need, and how documentation affects outcomes</w:t>
      </w:r>
    </w:p>
    <w:p>
      <w:pPr>
        <w:spacing w:before="120" w:after="120"/>
      </w:pPr>
    </w:p>
    <w:p>
      <w:pPr>
        <w:spacing w:before="40" w:after="80"/>
      </w:pPr>
      <w:r>
        <w:rPr>
          <w:rFonts w:ascii="Arial" w:hAnsi="Arial"/>
          <w:b/>
          <w:i w:val="0"/>
          <w:color w:val="C0392B"/>
          <w:sz w:val="20"/>
        </w:rPr>
        <w:t>What you need to develop:</w:t>
      </w:r>
    </w:p>
    <w:p>
      <w:pPr>
        <w:pStyle w:val="ListBullet"/>
        <w:spacing w:before="40" w:after="40"/>
      </w:pPr>
      <w:r>
        <w:rPr>
          <w:rFonts w:ascii="Arial" w:hAnsi="Arial"/>
          <w:b w:val="0"/>
          <w:i w:val="0"/>
          <w:color w:val="1A1A1A"/>
          <w:sz w:val="18"/>
        </w:rPr>
        <w:t>Medical coding systems: ICD-10, CPT, and HCPCS code sets (covered in billing/coding certificate programs)</w:t>
      </w:r>
    </w:p>
    <w:p>
      <w:pPr>
        <w:pStyle w:val="ListBullet"/>
        <w:spacing w:before="40" w:after="40"/>
      </w:pPr>
      <w:r>
        <w:rPr>
          <w:rFonts w:ascii="Arial" w:hAnsi="Arial"/>
          <w:b w:val="0"/>
          <w:i w:val="0"/>
          <w:color w:val="1A1A1A"/>
          <w:sz w:val="18"/>
        </w:rPr>
        <w:t>Insurance and reimbursement processes: claims submission, denial management, payer guidelines</w:t>
      </w:r>
    </w:p>
    <w:p>
      <w:pPr>
        <w:pStyle w:val="ListBullet"/>
        <w:spacing w:before="40" w:after="40"/>
      </w:pPr>
      <w:r>
        <w:rPr>
          <w:rFonts w:ascii="Arial" w:hAnsi="Arial"/>
          <w:b w:val="0"/>
          <w:i w:val="0"/>
          <w:color w:val="1A1A1A"/>
          <w:sz w:val="18"/>
        </w:rPr>
        <w:t>Healthcare administrative software: EHR platforms (Epic, Cerner) and practice management systems</w:t>
      </w:r>
    </w:p>
    <w:p>
      <w:pPr>
        <w:pStyle w:val="ListBullet"/>
        <w:spacing w:before="40" w:after="40"/>
      </w:pPr>
      <w:r>
        <w:rPr>
          <w:rFonts w:ascii="Arial" w:hAnsi="Arial"/>
          <w:b w:val="0"/>
          <w:i w:val="0"/>
          <w:color w:val="1A1A1A"/>
          <w:sz w:val="18"/>
        </w:rPr>
        <w:t>HIPAA compliance in an administrative context: billing privacy rules beyond the clinical training you already have</w:t>
      </w:r>
    </w:p>
    <w:p>
      <w:pPr>
        <w:pStyle w:val="ListBullet"/>
        <w:spacing w:before="40" w:after="40"/>
      </w:pPr>
      <w:r>
        <w:rPr>
          <w:rFonts w:ascii="Arial" w:hAnsi="Arial"/>
          <w:b w:val="0"/>
          <w:i w:val="0"/>
          <w:color w:val="1A1A1A"/>
          <w:sz w:val="18"/>
        </w:rPr>
        <w:t>Microsoft Office proficiency: Excel for reporting and data tracking is commonly tested in coordinator interviews</w:t>
      </w:r>
    </w:p>
    <w:p>
      <w:pPr>
        <w:spacing w:before="120" w:after="120"/>
      </w:pPr>
    </w:p>
    <w:p>
      <w:pPr>
        <w:spacing w:before="40" w:after="80"/>
      </w:pPr>
      <w:r>
        <w:rPr>
          <w:rFonts w:ascii="Arial" w:hAnsi="Arial"/>
          <w:b/>
          <w:i w:val="0"/>
          <w:color w:val="1F3864"/>
          <w:sz w:val="20"/>
        </w:rPr>
        <w:t>Certifications: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before="80" w:after="80"/>
            </w:pPr>
            <w:r>
              <w:rPr>
                <w:rFonts w:ascii="Arial" w:hAnsi="Arial"/>
                <w:b/>
                <w:i w:val="0"/>
                <w:color w:val="FFFFFF"/>
                <w:sz w:val="16"/>
              </w:rPr>
              <w:t>CERTIFICATION</w:t>
            </w:r>
          </w:p>
        </w:tc>
        <w:tc>
          <w:tcPr>
            <w:tcW w:type="dxa" w:w="2340"/>
            <w:shd w:val="clear" w:color="auto" w:fill="1F3864"/>
          </w:tcPr>
          <w:p>
            <w:pPr>
              <w:spacing w:before="80" w:after="80"/>
            </w:pPr>
            <w:r>
              <w:rPr>
                <w:rFonts w:ascii="Arial" w:hAnsi="Arial"/>
                <w:b/>
                <w:i w:val="0"/>
                <w:color w:val="FFFFFF"/>
                <w:sz w:val="16"/>
              </w:rPr>
              <w:t>PROVIDER</w:t>
            </w:r>
          </w:p>
        </w:tc>
        <w:tc>
          <w:tcPr>
            <w:tcW w:type="dxa" w:w="2340"/>
            <w:shd w:val="clear" w:color="auto" w:fill="1F3864"/>
          </w:tcPr>
          <w:p>
            <w:pPr>
              <w:spacing w:before="80" w:after="80"/>
            </w:pPr>
            <w:r>
              <w:rPr>
                <w:rFonts w:ascii="Arial" w:hAnsi="Arial"/>
                <w:b/>
                <w:i w:val="0"/>
                <w:color w:val="FFFFFF"/>
                <w:sz w:val="16"/>
              </w:rPr>
              <w:t>COST</w:t>
            </w:r>
          </w:p>
        </w:tc>
        <w:tc>
          <w:tcPr>
            <w:tcW w:type="dxa" w:w="2340"/>
            <w:shd w:val="clear" w:color="auto" w:fill="1F3864"/>
          </w:tcPr>
          <w:p>
            <w:pPr>
              <w:spacing w:before="80" w:after="80"/>
            </w:pPr>
            <w:r>
              <w:rPr>
                <w:rFonts w:ascii="Arial" w:hAnsi="Arial"/>
                <w:b/>
                <w:i w:val="0"/>
                <w:color w:val="FFFFFF"/>
                <w:sz w:val="16"/>
              </w:rPr>
              <w:t>TIMELINE</w:t>
            </w:r>
          </w:p>
        </w:tc>
      </w:tr>
      <w:tr>
        <w:tc>
          <w:tcPr>
            <w:tcW w:type="dxa" w:w="2340"/>
            <w:shd w:val="clear" w:color="auto" w:fill="F5F5F5"/>
          </w:tcPr>
          <w:p>
            <w:pPr>
              <w:spacing w:before="60" w:after="60"/>
            </w:pPr>
            <w:r>
              <w:rPr>
                <w:rFonts w:ascii="Arial" w:hAnsi="Arial"/>
                <w:b w:val="0"/>
                <w:i w:val="0"/>
                <w:color w:val="1A1A1A"/>
                <w:sz w:val="18"/>
              </w:rPr>
              <w:t>CPC — Certified Professional Coder</w:t>
            </w:r>
          </w:p>
        </w:tc>
        <w:tc>
          <w:tcPr>
            <w:tcW w:type="dxa" w:w="2340"/>
            <w:shd w:val="clear" w:color="auto" w:fill="F5F5F5"/>
          </w:tcPr>
          <w:p>
            <w:pPr>
              <w:spacing w:before="60" w:after="60"/>
            </w:pPr>
            <w:r>
              <w:rPr>
                <w:rFonts w:ascii="Arial" w:hAnsi="Arial"/>
                <w:b w:val="0"/>
                <w:i w:val="0"/>
                <w:color w:val="1A1A1A"/>
                <w:sz w:val="18"/>
              </w:rPr>
              <w:t>AAPC (online)</w:t>
            </w:r>
          </w:p>
        </w:tc>
        <w:tc>
          <w:tcPr>
            <w:tcW w:type="dxa" w:w="2340"/>
            <w:shd w:val="clear" w:color="auto" w:fill="F5F5F5"/>
          </w:tcPr>
          <w:p>
            <w:pPr>
              <w:spacing w:before="60" w:after="60"/>
            </w:pPr>
            <w:r>
              <w:rPr>
                <w:rFonts w:ascii="Arial" w:hAnsi="Arial"/>
                <w:b w:val="0"/>
                <w:i w:val="0"/>
                <w:color w:val="1A1A1A"/>
                <w:sz w:val="18"/>
              </w:rPr>
              <w:t>$1,595 full course + $300 exam</w:t>
            </w:r>
          </w:p>
        </w:tc>
        <w:tc>
          <w:tcPr>
            <w:tcW w:type="dxa" w:w="2340"/>
            <w:shd w:val="clear" w:color="auto" w:fill="F5F5F5"/>
          </w:tcPr>
          <w:p>
            <w:pPr>
              <w:spacing w:before="60" w:after="60"/>
            </w:pPr>
            <w:r>
              <w:rPr>
                <w:rFonts w:ascii="Arial" w:hAnsi="Arial"/>
                <w:b w:val="0"/>
                <w:i w:val="0"/>
                <w:color w:val="1A1A1A"/>
                <w:sz w:val="18"/>
              </w:rPr>
              <w:t>4–6 months self-paced</w:t>
            </w:r>
          </w:p>
        </w:tc>
      </w:tr>
      <w:tr>
        <w:tc>
          <w:tcPr>
            <w:tcW w:type="dxa" w:w="2340"/>
            <w:shd w:val="clear" w:color="auto" w:fill="FFFFFF"/>
          </w:tcPr>
          <w:p>
            <w:pPr>
              <w:spacing w:before="60" w:after="60"/>
            </w:pPr>
            <w:r>
              <w:rPr>
                <w:rFonts w:ascii="Arial" w:hAnsi="Arial"/>
                <w:b w:val="0"/>
                <w:i w:val="0"/>
                <w:color w:val="1A1A1A"/>
                <w:sz w:val="18"/>
              </w:rPr>
              <w:t>CCA — Certified Coding Associate</w:t>
            </w:r>
          </w:p>
        </w:tc>
        <w:tc>
          <w:tcPr>
            <w:tcW w:type="dxa" w:w="2340"/>
            <w:shd w:val="clear" w:color="auto" w:fill="FFFFFF"/>
          </w:tcPr>
          <w:p>
            <w:pPr>
              <w:spacing w:before="60" w:after="60"/>
            </w:pPr>
            <w:r>
              <w:rPr>
                <w:rFonts w:ascii="Arial" w:hAnsi="Arial"/>
                <w:b w:val="0"/>
                <w:i w:val="0"/>
                <w:color w:val="1A1A1A"/>
                <w:sz w:val="18"/>
              </w:rPr>
              <w:t>AHIMA (online)</w:t>
            </w:r>
          </w:p>
        </w:tc>
        <w:tc>
          <w:tcPr>
            <w:tcW w:type="dxa" w:w="2340"/>
            <w:shd w:val="clear" w:color="auto" w:fill="FFFFFF"/>
          </w:tcPr>
          <w:p>
            <w:pPr>
              <w:spacing w:before="60" w:after="60"/>
            </w:pPr>
            <w:r>
              <w:rPr>
                <w:rFonts w:ascii="Arial" w:hAnsi="Arial"/>
                <w:b w:val="0"/>
                <w:i w:val="0"/>
                <w:color w:val="1A1A1A"/>
                <w:sz w:val="18"/>
              </w:rPr>
              <w:t>$1,199 course + $299 exam</w:t>
            </w:r>
          </w:p>
        </w:tc>
        <w:tc>
          <w:tcPr>
            <w:tcW w:type="dxa" w:w="2340"/>
            <w:shd w:val="clear" w:color="auto" w:fill="FFFFFF"/>
          </w:tcPr>
          <w:p>
            <w:pPr>
              <w:spacing w:before="60" w:after="60"/>
            </w:pPr>
            <w:r>
              <w:rPr>
                <w:rFonts w:ascii="Arial" w:hAnsi="Arial"/>
                <w:b w:val="0"/>
                <w:i w:val="0"/>
                <w:color w:val="1A1A1A"/>
                <w:sz w:val="18"/>
              </w:rPr>
              <w:t>3–5 months self-paced</w:t>
            </w:r>
          </w:p>
        </w:tc>
      </w:tr>
      <w:tr>
        <w:tc>
          <w:tcPr>
            <w:tcW w:type="dxa" w:w="2340"/>
            <w:shd w:val="clear" w:color="auto" w:fill="F5F5F5"/>
          </w:tcPr>
          <w:p>
            <w:pPr>
              <w:spacing w:before="60" w:after="60"/>
            </w:pPr>
            <w:r>
              <w:rPr>
                <w:rFonts w:ascii="Arial" w:hAnsi="Arial"/>
                <w:b w:val="0"/>
                <w:i w:val="0"/>
                <w:color w:val="1A1A1A"/>
                <w:sz w:val="18"/>
              </w:rPr>
              <w:t>CMAA — Medical Admin Assistant</w:t>
            </w:r>
          </w:p>
        </w:tc>
        <w:tc>
          <w:tcPr>
            <w:tcW w:type="dxa" w:w="2340"/>
            <w:shd w:val="clear" w:color="auto" w:fill="F5F5F5"/>
          </w:tcPr>
          <w:p>
            <w:pPr>
              <w:spacing w:before="60" w:after="60"/>
            </w:pPr>
            <w:r>
              <w:rPr>
                <w:rFonts w:ascii="Arial" w:hAnsi="Arial"/>
                <w:b w:val="0"/>
                <w:i w:val="0"/>
                <w:color w:val="1A1A1A"/>
                <w:sz w:val="18"/>
              </w:rPr>
              <w:t>NHA (online)</w:t>
            </w:r>
          </w:p>
        </w:tc>
        <w:tc>
          <w:tcPr>
            <w:tcW w:type="dxa" w:w="2340"/>
            <w:shd w:val="clear" w:color="auto" w:fill="F5F5F5"/>
          </w:tcPr>
          <w:p>
            <w:pPr>
              <w:spacing w:before="60" w:after="60"/>
            </w:pPr>
            <w:r>
              <w:rPr>
                <w:rFonts w:ascii="Arial" w:hAnsi="Arial"/>
                <w:b w:val="0"/>
                <w:i w:val="0"/>
                <w:color w:val="1A1A1A"/>
                <w:sz w:val="18"/>
              </w:rPr>
              <w:t>$149 exam (prep ~$500)</w:t>
            </w:r>
          </w:p>
        </w:tc>
        <w:tc>
          <w:tcPr>
            <w:tcW w:type="dxa" w:w="2340"/>
            <w:shd w:val="clear" w:color="auto" w:fill="F5F5F5"/>
          </w:tcPr>
          <w:p>
            <w:pPr>
              <w:spacing w:before="60" w:after="60"/>
            </w:pPr>
            <w:r>
              <w:rPr>
                <w:rFonts w:ascii="Arial" w:hAnsi="Arial"/>
                <w:b w:val="0"/>
                <w:i w:val="0"/>
                <w:color w:val="1A1A1A"/>
                <w:sz w:val="18"/>
              </w:rPr>
              <w:t>6–8 weeks self-paced</w:t>
            </w:r>
          </w:p>
        </w:tc>
      </w:tr>
      <w:tr>
        <w:tc>
          <w:tcPr>
            <w:tcW w:type="dxa" w:w="2340"/>
            <w:shd w:val="clear" w:color="auto" w:fill="FFFFFF"/>
          </w:tcPr>
          <w:p>
            <w:pPr>
              <w:spacing w:before="60" w:after="60"/>
            </w:pPr>
            <w:r>
              <w:rPr>
                <w:rFonts w:ascii="Arial" w:hAnsi="Arial"/>
                <w:b w:val="0"/>
                <w:i w:val="0"/>
                <w:color w:val="1A1A1A"/>
                <w:sz w:val="18"/>
              </w:rPr>
              <w:t>Epic EHR Fundamentals</w:t>
            </w:r>
          </w:p>
        </w:tc>
        <w:tc>
          <w:tcPr>
            <w:tcW w:type="dxa" w:w="2340"/>
            <w:shd w:val="clear" w:color="auto" w:fill="FFFFFF"/>
          </w:tcPr>
          <w:p>
            <w:pPr>
              <w:spacing w:before="60" w:after="60"/>
            </w:pPr>
            <w:r>
              <w:rPr>
                <w:rFonts w:ascii="Arial" w:hAnsi="Arial"/>
                <w:b w:val="0"/>
                <w:i w:val="0"/>
                <w:color w:val="1A1A1A"/>
                <w:sz w:val="18"/>
              </w:rPr>
              <w:t>Epic (employer-sponsored)</w:t>
            </w:r>
          </w:p>
        </w:tc>
        <w:tc>
          <w:tcPr>
            <w:tcW w:type="dxa" w:w="2340"/>
            <w:shd w:val="clear" w:color="auto" w:fill="FFFFFF"/>
          </w:tcPr>
          <w:p>
            <w:pPr>
              <w:spacing w:before="60" w:after="60"/>
            </w:pPr>
            <w:r>
              <w:rPr>
                <w:rFonts w:ascii="Arial" w:hAnsi="Arial"/>
                <w:b w:val="0"/>
                <w:i w:val="0"/>
                <w:color w:val="1A1A1A"/>
                <w:sz w:val="18"/>
              </w:rPr>
              <w:t>Usually free via employer</w:t>
            </w:r>
          </w:p>
        </w:tc>
        <w:tc>
          <w:tcPr>
            <w:tcW w:type="dxa" w:w="2340"/>
            <w:shd w:val="clear" w:color="auto" w:fill="FFFFFF"/>
          </w:tcPr>
          <w:p>
            <w:pPr>
              <w:spacing w:before="60" w:after="60"/>
            </w:pPr>
            <w:r>
              <w:rPr>
                <w:rFonts w:ascii="Arial" w:hAnsi="Arial"/>
                <w:b w:val="0"/>
                <w:i w:val="0"/>
                <w:color w:val="1A1A1A"/>
                <w:sz w:val="18"/>
              </w:rPr>
              <w:t>2–4 weeks on the job</w:t>
            </w:r>
          </w:p>
        </w:tc>
      </w:tr>
    </w:tbl>
    <w:p>
      <w:pPr>
        <w:spacing w:before="120" w:after="120"/>
      </w:pPr>
    </w:p>
    <w:p>
      <w:pPr>
        <w:spacing w:before="80" w:after="160"/>
      </w:pPr>
      <w:r>
        <w:rPr>
          <w:rFonts w:ascii="Arial" w:hAnsi="Arial"/>
          <w:b w:val="0"/>
          <w:i/>
          <w:color w:val="444444"/>
          <w:sz w:val="20"/>
        </w:rPr>
        <w:t>The gap between where you are and where you want to be is narrower than it looks. Your clinical knowledge is already there. What you need is the administrative credential that makes it visible to office-side employers. A 4 to 6 month online billing program, studied during early mornings or nap times, closes that gap.</w:t>
      </w:r>
    </w:p>
    <w:p>
      <w:pPr>
        <w:spacing w:before="280" w:after="80"/>
      </w:pPr>
      <w:r>
        <w:rPr>
          <w:rFonts w:ascii="Arial" w:hAnsi="Arial"/>
          <w:b/>
          <w:i w:val="0"/>
          <w:color w:val="1F3864"/>
          <w:sz w:val="26"/>
        </w:rPr>
        <w:t>Funding Strategy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40"/>
      </w:pPr>
      <w:r>
        <w:rPr>
          <w:rFonts w:ascii="Arial" w:hAnsi="Arial"/>
          <w:b/>
          <w:i w:val="0"/>
          <w:color w:val="2D6A4F"/>
          <w:sz w:val="20"/>
        </w:rPr>
        <w:t>Priority 1 — WIOA Title I  (Workforce Innovation and Opportunity Act)</w:t>
      </w:r>
    </w:p>
    <w:p>
      <w:pPr>
        <w:spacing w:before="0" w:after="120"/>
      </w:pPr>
      <w:r>
        <w:rPr>
          <w:rFonts w:ascii="Arial" w:hAnsi="Arial"/>
          <w:b w:val="0"/>
          <w:i w:val="0"/>
          <w:color w:val="444444"/>
          <w:sz w:val="18"/>
        </w:rPr>
        <w:t>You likely qualify based on income ($20,000–$34,999 household) and a desire to upskill into a higher-wage occupation. WIOA covers approved online programs and certification exam fees. Contact your local OhioMeansJobs center to apply. Bring pay stubs, ID, and your most recent tax return. Search your nearest center at jobs.ohio.gov.</w:t>
      </w:r>
    </w:p>
    <w:p>
      <w:pPr>
        <w:spacing w:before="80" w:after="40"/>
      </w:pPr>
      <w:r>
        <w:rPr>
          <w:rFonts w:ascii="Arial" w:hAnsi="Arial"/>
          <w:b/>
          <w:i w:val="0"/>
          <w:color w:val="1F7A8C"/>
          <w:sz w:val="20"/>
        </w:rPr>
        <w:t>Priority 2 — Ohio TechCred Program</w:t>
      </w:r>
    </w:p>
    <w:p>
      <w:pPr>
        <w:spacing w:before="0" w:after="120"/>
      </w:pPr>
      <w:r>
        <w:rPr>
          <w:rFonts w:ascii="Arial" w:hAnsi="Arial"/>
          <w:b w:val="0"/>
          <w:i w:val="0"/>
          <w:color w:val="444444"/>
          <w:sz w:val="18"/>
        </w:rPr>
        <w:t>Ohio's TechCred program reimburses employers up to $2,000 per credential for employees who earn technology-focused certifications. If your current HHA employer participates, they may cover your CPC or CMAA costs. Ask your employer directly or visit techcred.ohio.gov.</w:t>
      </w:r>
    </w:p>
    <w:p>
      <w:pPr>
        <w:spacing w:before="80" w:after="40"/>
      </w:pPr>
      <w:r>
        <w:rPr>
          <w:rFonts w:ascii="Arial" w:hAnsi="Arial"/>
          <w:b/>
          <w:i w:val="0"/>
          <w:color w:val="B8540A"/>
          <w:sz w:val="20"/>
        </w:rPr>
        <w:t>Priority 3 — Pell Grant (FAFSA)</w:t>
      </w:r>
    </w:p>
    <w:p>
      <w:pPr>
        <w:spacing w:before="0" w:after="120"/>
      </w:pPr>
      <w:r>
        <w:rPr>
          <w:rFonts w:ascii="Arial" w:hAnsi="Arial"/>
          <w:b w:val="0"/>
          <w:i w:val="0"/>
          <w:color w:val="444444"/>
          <w:sz w:val="18"/>
        </w:rPr>
        <w:t>If you enroll in a degree or certificate program at a community college, Pell Grants can cover $3,000 to $7,395 per year for eligible low-to-moderate income students. Columbus State Community College and Cuyahoga Community College both offer healthcare administration programs with online options. Complete your FAFSA at studentaid.gov.</w:t>
      </w:r>
    </w:p>
    <w:p>
      <w:pPr>
        <w:spacing w:before="80" w:after="40"/>
      </w:pPr>
      <w:r>
        <w:rPr>
          <w:rFonts w:ascii="Arial" w:hAnsi="Arial"/>
          <w:b/>
          <w:i w:val="0"/>
          <w:color w:val="1F3864"/>
          <w:sz w:val="20"/>
        </w:rPr>
        <w:t>Priority 4 — AAPC and AHIMA Payment Plans</w:t>
      </w:r>
    </w:p>
    <w:p>
      <w:pPr>
        <w:spacing w:before="0" w:after="160"/>
      </w:pPr>
      <w:r>
        <w:rPr>
          <w:rFonts w:ascii="Arial" w:hAnsi="Arial"/>
          <w:b w:val="0"/>
          <w:i w:val="0"/>
          <w:color w:val="444444"/>
          <w:sz w:val="18"/>
        </w:rPr>
        <w:t>Both AAPC and AHIMA offer monthly payment plans for their online CPC and CCA programs, making the full cost manageable at $100 to $200 per month. This is a good option if WIOA approval takes longer than expected.</w:t>
      </w:r>
    </w:p>
    <w:p>
      <w:pPr>
        <w:spacing w:before="280" w:after="80"/>
      </w:pPr>
      <w:r>
        <w:rPr>
          <w:rFonts w:ascii="Arial" w:hAnsi="Arial"/>
          <w:b/>
          <w:i w:val="0"/>
          <w:color w:val="1F3864"/>
          <w:sz w:val="26"/>
        </w:rPr>
        <w:t>12-Month Action Roadmap</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20" w:after="120"/>
            </w:pPr>
            <w:r>
              <w:rPr>
                <w:rFonts w:ascii="Arial" w:hAnsi="Arial"/>
                <w:b/>
                <w:i w:val="0"/>
                <w:color w:val="FFFFFF"/>
                <w:sz w:val="18"/>
              </w:rPr>
              <w:t>PHASE</w:t>
            </w:r>
          </w:p>
        </w:tc>
        <w:tc>
          <w:tcPr>
            <w:tcW w:type="dxa" w:w="3120"/>
            <w:shd w:val="clear" w:color="auto" w:fill="1F3864"/>
          </w:tcPr>
          <w:p>
            <w:pPr>
              <w:spacing w:before="120" w:after="120"/>
            </w:pPr>
            <w:r>
              <w:rPr>
                <w:rFonts w:ascii="Arial" w:hAnsi="Arial"/>
                <w:b/>
                <w:i w:val="0"/>
                <w:color w:val="FFFFFF"/>
                <w:sz w:val="18"/>
              </w:rPr>
              <w:t>TIMELINE</w:t>
            </w:r>
          </w:p>
        </w:tc>
        <w:tc>
          <w:tcPr>
            <w:tcW w:type="dxa" w:w="3120"/>
            <w:shd w:val="clear" w:color="auto" w:fill="1F3864"/>
          </w:tcPr>
          <w:p>
            <w:pPr>
              <w:spacing w:before="120" w:after="120"/>
            </w:pPr>
            <w:r>
              <w:rPr>
                <w:rFonts w:ascii="Arial" w:hAnsi="Arial"/>
                <w:b/>
                <w:i w:val="0"/>
                <w:color w:val="FFFFFF"/>
                <w:sz w:val="18"/>
              </w:rPr>
              <w:t>ACTIONS</w:t>
            </w:r>
          </w:p>
        </w:tc>
      </w:tr>
      <w:tr>
        <w:tc>
          <w:tcPr>
            <w:tcW w:type="dxa" w:w="3120"/>
            <w:shd w:val="clear" w:color="auto" w:fill="1F7A8C"/>
          </w:tcPr>
          <w:p>
            <w:pPr>
              <w:spacing w:before="120" w:after="120"/>
            </w:pPr>
            <w:r>
              <w:rPr>
                <w:rFonts w:ascii="Arial" w:hAnsi="Arial"/>
                <w:b/>
                <w:i w:val="0"/>
                <w:color w:val="FFFFFF"/>
                <w:sz w:val="18"/>
              </w:rPr>
              <w:t>Phase 1</w:t>
            </w:r>
          </w:p>
        </w:tc>
        <w:tc>
          <w:tcPr>
            <w:tcW w:type="dxa" w:w="3120"/>
            <w:shd w:val="clear" w:color="auto" w:fill="F9F9F9"/>
          </w:tcPr>
          <w:p>
            <w:pPr>
              <w:spacing w:before="120" w:after="120"/>
            </w:pPr>
            <w:r>
              <w:rPr>
                <w:rFonts w:ascii="Arial" w:hAnsi="Arial"/>
                <w:b/>
                <w:i w:val="0"/>
                <w:color w:val="1F3864"/>
                <w:sz w:val="18"/>
              </w:rPr>
              <w:t>Week 1–2</w:t>
            </w:r>
          </w:p>
        </w:tc>
        <w:tc>
          <w:tcPr>
            <w:tcW w:type="dxa" w:w="3120"/>
            <w:shd w:val="clear" w:color="auto" w:fill="FFFFFF"/>
          </w:tcPr>
          <w:p>
            <w:pPr>
              <w:spacing w:before="80" w:after="80"/>
            </w:pPr>
            <w:r>
              <w:rPr>
                <w:rFonts w:ascii="Arial" w:hAnsi="Arial"/>
                <w:b w:val="0"/>
                <w:i w:val="0"/>
                <w:color w:val="1A1A1A"/>
                <w:sz w:val="18"/>
              </w:rPr>
              <w:t>Visit your local OhioMeansJobs center — open a WIOA application (search jobs.ohio.gov for nearest location)</w:t>
            </w:r>
            <w:r>
              <w:br/>
            </w:r>
            <w:r>
              <w:rPr>
                <w:rFonts w:ascii="Arial" w:hAnsi="Arial"/>
                <w:b w:val="0"/>
                <w:i w:val="0"/>
                <w:color w:val="1A1A1A"/>
                <w:sz w:val="18"/>
              </w:rPr>
              <w:t>Complete your FAFSA at studentaid.gov — unlocks Pell Grant eligibility at Ohio community colleges</w:t>
            </w:r>
            <w:r>
              <w:br/>
            </w:r>
            <w:r>
              <w:rPr>
                <w:rFonts w:ascii="Arial" w:hAnsi="Arial"/>
                <w:b w:val="0"/>
                <w:i w:val="0"/>
                <w:color w:val="1A1A1A"/>
                <w:sz w:val="18"/>
              </w:rPr>
              <w:t>Ask your current employer about Ohio TechCred participation — they may pay for your certification</w:t>
            </w:r>
            <w:r>
              <w:br/>
            </w:r>
            <w:r>
              <w:rPr>
                <w:rFonts w:ascii="Arial" w:hAnsi="Arial"/>
                <w:b w:val="0"/>
                <w:i w:val="0"/>
                <w:color w:val="1A1A1A"/>
                <w:sz w:val="18"/>
              </w:rPr>
              <w:t>Gather documents: two recent pay stubs, photo ID, most recent tax return</w:t>
            </w:r>
          </w:p>
        </w:tc>
      </w:tr>
      <w:tr>
        <w:tc>
          <w:tcPr>
            <w:tcW w:type="dxa" w:w="3120"/>
            <w:shd w:val="clear" w:color="auto" w:fill="2D6A4F"/>
          </w:tcPr>
          <w:p>
            <w:pPr>
              <w:spacing w:before="120" w:after="120"/>
            </w:pPr>
            <w:r>
              <w:rPr>
                <w:rFonts w:ascii="Arial" w:hAnsi="Arial"/>
                <w:b/>
                <w:i w:val="0"/>
                <w:color w:val="FFFFFF"/>
                <w:sz w:val="18"/>
              </w:rPr>
              <w:t>Phase 2</w:t>
            </w:r>
          </w:p>
        </w:tc>
        <w:tc>
          <w:tcPr>
            <w:tcW w:type="dxa" w:w="3120"/>
            <w:shd w:val="clear" w:color="auto" w:fill="F9F9F9"/>
          </w:tcPr>
          <w:p>
            <w:pPr>
              <w:spacing w:before="120" w:after="120"/>
            </w:pPr>
            <w:r>
              <w:rPr>
                <w:rFonts w:ascii="Arial" w:hAnsi="Arial"/>
                <w:b/>
                <w:i w:val="0"/>
                <w:color w:val="1F3864"/>
                <w:sz w:val="18"/>
              </w:rPr>
              <w:t>Week 2–4</w:t>
            </w:r>
          </w:p>
        </w:tc>
        <w:tc>
          <w:tcPr>
            <w:tcW w:type="dxa" w:w="3120"/>
            <w:shd w:val="clear" w:color="auto" w:fill="FFFFFF"/>
          </w:tcPr>
          <w:p>
            <w:pPr>
              <w:spacing w:before="80" w:after="80"/>
            </w:pPr>
            <w:r>
              <w:rPr>
                <w:rFonts w:ascii="Arial" w:hAnsi="Arial"/>
                <w:b w:val="0"/>
                <w:i w:val="0"/>
                <w:color w:val="1A1A1A"/>
                <w:sz w:val="18"/>
              </w:rPr>
              <w:t>Research and select your billing/coding program: AAPC (CPC) or AHIMA (CCA) — both fully online and self-paced</w:t>
            </w:r>
            <w:r>
              <w:br/>
            </w:r>
            <w:r>
              <w:rPr>
                <w:rFonts w:ascii="Arial" w:hAnsi="Arial"/>
                <w:b w:val="0"/>
                <w:i w:val="0"/>
                <w:color w:val="1A1A1A"/>
                <w:sz w:val="18"/>
              </w:rPr>
              <w:t>Confirm program is WIOA-approved at your OhioMeansJobs center before paying anything</w:t>
            </w:r>
            <w:r>
              <w:br/>
            </w:r>
            <w:r>
              <w:rPr>
                <w:rFonts w:ascii="Arial" w:hAnsi="Arial"/>
                <w:b w:val="0"/>
                <w:i w:val="0"/>
                <w:color w:val="1A1A1A"/>
                <w:sz w:val="18"/>
              </w:rPr>
              <w:t>Alternatively: review Columbus State Community College online Medical Coding certificate (Pell-eligible)</w:t>
            </w:r>
            <w:r>
              <w:br/>
            </w:r>
            <w:r>
              <w:rPr>
                <w:rFonts w:ascii="Arial" w:hAnsi="Arial"/>
                <w:b w:val="0"/>
                <w:i w:val="0"/>
                <w:color w:val="1A1A1A"/>
                <w:sz w:val="18"/>
              </w:rPr>
              <w:t>Set your study schedule: 45 to 60 minutes per day, early morning before kids wake up or during lunch</w:t>
            </w:r>
          </w:p>
        </w:tc>
      </w:tr>
      <w:tr>
        <w:tc>
          <w:tcPr>
            <w:tcW w:type="dxa" w:w="3120"/>
            <w:shd w:val="clear" w:color="auto" w:fill="1F3864"/>
          </w:tcPr>
          <w:p>
            <w:pPr>
              <w:spacing w:before="120" w:after="120"/>
            </w:pPr>
            <w:r>
              <w:rPr>
                <w:rFonts w:ascii="Arial" w:hAnsi="Arial"/>
                <w:b/>
                <w:i w:val="0"/>
                <w:color w:val="FFFFFF"/>
                <w:sz w:val="18"/>
              </w:rPr>
              <w:t>Phase 3</w:t>
            </w:r>
          </w:p>
        </w:tc>
        <w:tc>
          <w:tcPr>
            <w:tcW w:type="dxa" w:w="3120"/>
            <w:shd w:val="clear" w:color="auto" w:fill="F9F9F9"/>
          </w:tcPr>
          <w:p>
            <w:pPr>
              <w:spacing w:before="120" w:after="120"/>
            </w:pPr>
            <w:r>
              <w:rPr>
                <w:rFonts w:ascii="Arial" w:hAnsi="Arial"/>
                <w:b/>
                <w:i w:val="0"/>
                <w:color w:val="1F3864"/>
                <w:sz w:val="18"/>
              </w:rPr>
              <w:t>Month 1–6</w:t>
            </w:r>
          </w:p>
        </w:tc>
        <w:tc>
          <w:tcPr>
            <w:tcW w:type="dxa" w:w="3120"/>
            <w:shd w:val="clear" w:color="auto" w:fill="FFFFFF"/>
          </w:tcPr>
          <w:p>
            <w:pPr>
              <w:spacing w:before="80" w:after="80"/>
            </w:pPr>
            <w:r>
              <w:rPr>
                <w:rFonts w:ascii="Arial" w:hAnsi="Arial"/>
                <w:b w:val="0"/>
                <w:i w:val="0"/>
                <w:color w:val="1A1A1A"/>
                <w:sz w:val="18"/>
              </w:rPr>
              <w:t>Begin your online billing/coding program — work through modules at your own pace</w:t>
            </w:r>
            <w:r>
              <w:br/>
            </w:r>
            <w:r>
              <w:rPr>
                <w:rFonts w:ascii="Arial" w:hAnsi="Arial"/>
                <w:b w:val="0"/>
                <w:i w:val="0"/>
                <w:color w:val="1A1A1A"/>
                <w:sz w:val="18"/>
              </w:rPr>
              <w:t>Join AAPC student chapter (free) for exam prep resources and Ohio employer networking</w:t>
            </w:r>
            <w:r>
              <w:br/>
            </w:r>
            <w:r>
              <w:rPr>
                <w:rFonts w:ascii="Arial" w:hAnsi="Arial"/>
                <w:b w:val="0"/>
                <w:i w:val="0"/>
                <w:color w:val="1A1A1A"/>
                <w:sz w:val="18"/>
              </w:rPr>
              <w:t>Start following healthcare coordinator job postings in Columbus on LinkedIn and OhioMeansJobs to understand requirements</w:t>
            </w:r>
            <w:r>
              <w:br/>
            </w:r>
            <w:r>
              <w:rPr>
                <w:rFonts w:ascii="Arial" w:hAnsi="Arial"/>
                <w:b w:val="0"/>
                <w:i w:val="0"/>
                <w:color w:val="1A1A1A"/>
                <w:sz w:val="18"/>
              </w:rPr>
              <w:t>Update your resume to highlight documentation, care coordination, and family communication experience</w:t>
            </w:r>
          </w:p>
        </w:tc>
      </w:tr>
      <w:tr>
        <w:tc>
          <w:tcPr>
            <w:tcW w:type="dxa" w:w="3120"/>
            <w:shd w:val="clear" w:color="auto" w:fill="B8540A"/>
          </w:tcPr>
          <w:p>
            <w:pPr>
              <w:spacing w:before="120" w:after="120"/>
            </w:pPr>
            <w:r>
              <w:rPr>
                <w:rFonts w:ascii="Arial" w:hAnsi="Arial"/>
                <w:b/>
                <w:i w:val="0"/>
                <w:color w:val="FFFFFF"/>
                <w:sz w:val="18"/>
              </w:rPr>
              <w:t>Phase 4</w:t>
            </w:r>
          </w:p>
        </w:tc>
        <w:tc>
          <w:tcPr>
            <w:tcW w:type="dxa" w:w="3120"/>
            <w:shd w:val="clear" w:color="auto" w:fill="F9F9F9"/>
          </w:tcPr>
          <w:p>
            <w:pPr>
              <w:spacing w:before="120" w:after="120"/>
            </w:pPr>
            <w:r>
              <w:rPr>
                <w:rFonts w:ascii="Arial" w:hAnsi="Arial"/>
                <w:b/>
                <w:i w:val="0"/>
                <w:color w:val="1F3864"/>
                <w:sz w:val="18"/>
              </w:rPr>
              <w:t>Month 5–7</w:t>
            </w:r>
          </w:p>
        </w:tc>
        <w:tc>
          <w:tcPr>
            <w:tcW w:type="dxa" w:w="3120"/>
            <w:shd w:val="clear" w:color="auto" w:fill="FFFFFF"/>
          </w:tcPr>
          <w:p>
            <w:pPr>
              <w:spacing w:before="80" w:after="80"/>
            </w:pPr>
            <w:r>
              <w:rPr>
                <w:rFonts w:ascii="Arial" w:hAnsi="Arial"/>
                <w:b w:val="0"/>
                <w:i w:val="0"/>
                <w:color w:val="1A1A1A"/>
                <w:sz w:val="18"/>
              </w:rPr>
              <w:t>Complete your CPC or CCA certification exam (schedule 4 to 6 weeks before your program end date)</w:t>
            </w:r>
            <w:r>
              <w:br/>
            </w:r>
            <w:r>
              <w:rPr>
                <w:rFonts w:ascii="Arial" w:hAnsi="Arial"/>
                <w:b w:val="0"/>
                <w:i w:val="0"/>
                <w:color w:val="1A1A1A"/>
                <w:sz w:val="18"/>
              </w:rPr>
              <w:t>Apply to 3 to 5 medical billing positions in Columbus — remote roles are common and schedule-friendly</w:t>
            </w:r>
            <w:r>
              <w:br/>
            </w:r>
            <w:r>
              <w:rPr>
                <w:rFonts w:ascii="Arial" w:hAnsi="Arial"/>
                <w:b w:val="0"/>
                <w:i w:val="0"/>
                <w:color w:val="1A1A1A"/>
                <w:sz w:val="18"/>
              </w:rPr>
              <w:t>Simultaneously begin applying to entry-level coordinator roles at OhioHealth, Mount Carmel, and Nationwide Children's</w:t>
            </w:r>
            <w:r>
              <w:br/>
            </w:r>
            <w:r>
              <w:rPr>
                <w:rFonts w:ascii="Arial" w:hAnsi="Arial"/>
                <w:b w:val="0"/>
                <w:i w:val="0"/>
                <w:color w:val="1A1A1A"/>
                <w:sz w:val="18"/>
              </w:rPr>
              <w:t>Leverage your HHA experience as a differentiator — most billing candidates have no clinical background</w:t>
            </w:r>
          </w:p>
        </w:tc>
      </w:tr>
      <w:tr>
        <w:tc>
          <w:tcPr>
            <w:tcW w:type="dxa" w:w="3120"/>
            <w:shd w:val="clear" w:color="auto" w:fill="2D6A4F"/>
          </w:tcPr>
          <w:p>
            <w:pPr>
              <w:spacing w:before="120" w:after="120"/>
            </w:pPr>
            <w:r>
              <w:rPr>
                <w:rFonts w:ascii="Arial" w:hAnsi="Arial"/>
                <w:b/>
                <w:i w:val="0"/>
                <w:color w:val="FFFFFF"/>
                <w:sz w:val="18"/>
              </w:rPr>
              <w:t>Phase 5</w:t>
            </w:r>
          </w:p>
        </w:tc>
        <w:tc>
          <w:tcPr>
            <w:tcW w:type="dxa" w:w="3120"/>
            <w:shd w:val="clear" w:color="auto" w:fill="F9F9F9"/>
          </w:tcPr>
          <w:p>
            <w:pPr>
              <w:spacing w:before="120" w:after="120"/>
            </w:pPr>
            <w:r>
              <w:rPr>
                <w:rFonts w:ascii="Arial" w:hAnsi="Arial"/>
                <w:b/>
                <w:i w:val="0"/>
                <w:color w:val="1F3864"/>
                <w:sz w:val="18"/>
              </w:rPr>
              <w:t>Month 7–10</w:t>
            </w:r>
          </w:p>
        </w:tc>
        <w:tc>
          <w:tcPr>
            <w:tcW w:type="dxa" w:w="3120"/>
            <w:shd w:val="clear" w:color="auto" w:fill="FFFFFF"/>
          </w:tcPr>
          <w:p>
            <w:pPr>
              <w:spacing w:before="80" w:after="80"/>
            </w:pPr>
            <w:r>
              <w:rPr>
                <w:rFonts w:ascii="Arial" w:hAnsi="Arial"/>
                <w:b w:val="0"/>
                <w:i w:val="0"/>
                <w:color w:val="1A1A1A"/>
                <w:sz w:val="18"/>
              </w:rPr>
              <w:t>Start your billing or coordinator role — income increases by $8,000 to $12,000 in year one</w:t>
            </w:r>
            <w:r>
              <w:br/>
            </w:r>
            <w:r>
              <w:rPr>
                <w:rFonts w:ascii="Arial" w:hAnsi="Arial"/>
                <w:b w:val="0"/>
                <w:i w:val="0"/>
                <w:color w:val="1A1A1A"/>
                <w:sz w:val="18"/>
              </w:rPr>
              <w:t>Request Epic or Cerner EHR training from your new employer — most provide it during onboarding</w:t>
            </w:r>
            <w:r>
              <w:br/>
            </w:r>
            <w:r>
              <w:rPr>
                <w:rFonts w:ascii="Arial" w:hAnsi="Arial"/>
                <w:b w:val="0"/>
                <w:i w:val="0"/>
                <w:color w:val="1A1A1A"/>
                <w:sz w:val="18"/>
              </w:rPr>
              <w:t>Notify your WIOA case manager of employment — required for program completion</w:t>
            </w:r>
            <w:r>
              <w:br/>
            </w:r>
            <w:r>
              <w:rPr>
                <w:rFonts w:ascii="Arial" w:hAnsi="Arial"/>
                <w:b w:val="0"/>
                <w:i w:val="0"/>
                <w:color w:val="1A1A1A"/>
                <w:sz w:val="18"/>
              </w:rPr>
              <w:t>Begin tracking coordinator job openings at your new employer for internal advancement opportunities</w:t>
            </w:r>
          </w:p>
        </w:tc>
      </w:tr>
      <w:tr>
        <w:tc>
          <w:tcPr>
            <w:tcW w:type="dxa" w:w="3120"/>
            <w:shd w:val="clear" w:color="auto" w:fill="1F7A8C"/>
          </w:tcPr>
          <w:p>
            <w:pPr>
              <w:spacing w:before="120" w:after="120"/>
            </w:pPr>
            <w:r>
              <w:rPr>
                <w:rFonts w:ascii="Arial" w:hAnsi="Arial"/>
                <w:b/>
                <w:i w:val="0"/>
                <w:color w:val="FFFFFF"/>
                <w:sz w:val="18"/>
              </w:rPr>
              <w:t>Phase 6</w:t>
            </w:r>
          </w:p>
        </w:tc>
        <w:tc>
          <w:tcPr>
            <w:tcW w:type="dxa" w:w="3120"/>
            <w:shd w:val="clear" w:color="auto" w:fill="F9F9F9"/>
          </w:tcPr>
          <w:p>
            <w:pPr>
              <w:spacing w:before="120" w:after="120"/>
            </w:pPr>
            <w:r>
              <w:rPr>
                <w:rFonts w:ascii="Arial" w:hAnsi="Arial"/>
                <w:b/>
                <w:i w:val="0"/>
                <w:color w:val="1F3864"/>
                <w:sz w:val="18"/>
              </w:rPr>
              <w:t>Month 10–12</w:t>
            </w:r>
          </w:p>
        </w:tc>
        <w:tc>
          <w:tcPr>
            <w:tcW w:type="dxa" w:w="3120"/>
            <w:shd w:val="clear" w:color="auto" w:fill="FFFFFF"/>
          </w:tcPr>
          <w:p>
            <w:pPr>
              <w:spacing w:before="80" w:after="80"/>
            </w:pPr>
            <w:r>
              <w:rPr>
                <w:rFonts w:ascii="Arial" w:hAnsi="Arial"/>
                <w:b w:val="0"/>
                <w:i w:val="0"/>
                <w:color w:val="1A1A1A"/>
                <w:sz w:val="18"/>
              </w:rPr>
              <w:t>Complete 90-day performance review — ask for a development conversation about coordinator track</w:t>
            </w:r>
            <w:r>
              <w:br/>
            </w:r>
            <w:r>
              <w:rPr>
                <w:rFonts w:ascii="Arial" w:hAnsi="Arial"/>
                <w:b w:val="0"/>
                <w:i w:val="0"/>
                <w:color w:val="1A1A1A"/>
                <w:sz w:val="18"/>
              </w:rPr>
              <w:t>Enroll in a Medical Administrative Assistant (CMAA) credential if not yet in a coordinator role</w:t>
            </w:r>
            <w:r>
              <w:br/>
            </w:r>
            <w:r>
              <w:rPr>
                <w:rFonts w:ascii="Arial" w:hAnsi="Arial"/>
                <w:b w:val="0"/>
                <w:i w:val="0"/>
                <w:color w:val="1A1A1A"/>
                <w:sz w:val="18"/>
              </w:rPr>
              <w:t>Research Healthcare Administration Associate degree at Columbus State as your Year 2 investment</w:t>
            </w:r>
            <w:r>
              <w:br/>
            </w:r>
            <w:r>
              <w:rPr>
                <w:rFonts w:ascii="Arial" w:hAnsi="Arial"/>
                <w:b w:val="0"/>
                <w:i w:val="0"/>
                <w:color w:val="1A1A1A"/>
                <w:sz w:val="18"/>
              </w:rPr>
              <w:t>Update LinkedIn with new certification — coordinator recruiters in Ohio actively search this platform</w:t>
            </w:r>
          </w:p>
        </w:tc>
      </w:tr>
    </w:tbl>
    <w:p>
      <w:pPr>
        <w:spacing w:before="160" w:after="160"/>
      </w:pPr>
    </w:p>
    <w:p>
      <w:pPr>
        <w:spacing w:before="120" w:after="80"/>
      </w:pPr>
      <w:r>
        <w:rPr>
          <w:rFonts w:ascii="Arial" w:hAnsi="Arial"/>
          <w:b/>
          <w:i w:val="0"/>
          <w:color w:val="1F3864"/>
          <w:sz w:val="20"/>
        </w:rPr>
        <w:t>Year 2–3 Milestones:</w:t>
      </w:r>
    </w:p>
    <w:p>
      <w:pPr>
        <w:pStyle w:val="ListBullet"/>
        <w:spacing w:before="40" w:after="40"/>
      </w:pPr>
      <w:r>
        <w:rPr>
          <w:rFonts w:ascii="Arial" w:hAnsi="Arial"/>
          <w:b w:val="0"/>
          <w:i w:val="0"/>
          <w:color w:val="1A1A1A"/>
          <w:sz w:val="18"/>
        </w:rPr>
        <w:t>Earning $44,000 to $50,000 as a healthcare coordinator with standard business hours</w:t>
      </w:r>
    </w:p>
    <w:p>
      <w:pPr>
        <w:pStyle w:val="ListBullet"/>
        <w:spacing w:before="40" w:after="40"/>
      </w:pPr>
      <w:r>
        <w:rPr>
          <w:rFonts w:ascii="Arial" w:hAnsi="Arial"/>
          <w:b w:val="0"/>
          <w:i w:val="0"/>
          <w:color w:val="1A1A1A"/>
          <w:sz w:val="18"/>
        </w:rPr>
        <w:t>No more evening or weekend shifts — schedule fully aligned with your family</w:t>
      </w:r>
    </w:p>
    <w:p>
      <w:pPr>
        <w:pStyle w:val="ListBullet"/>
        <w:spacing w:before="40" w:after="40"/>
      </w:pPr>
      <w:r>
        <w:rPr>
          <w:rFonts w:ascii="Arial" w:hAnsi="Arial"/>
          <w:b w:val="0"/>
          <w:i w:val="0"/>
          <w:color w:val="1A1A1A"/>
          <w:sz w:val="18"/>
        </w:rPr>
        <w:t>WIOA case closed with credential and new employer on record</w:t>
      </w:r>
    </w:p>
    <w:p>
      <w:pPr>
        <w:pStyle w:val="ListBullet"/>
        <w:spacing w:before="40" w:after="40"/>
      </w:pPr>
      <w:r>
        <w:rPr>
          <w:rFonts w:ascii="Arial" w:hAnsi="Arial"/>
          <w:b w:val="0"/>
          <w:i w:val="0"/>
          <w:color w:val="1A1A1A"/>
          <w:sz w:val="18"/>
        </w:rPr>
        <w:t>Pursuing Healthcare Administration associate degree online at Columbus State if targeting office manager</w:t>
      </w:r>
    </w:p>
    <w:p>
      <w:pPr>
        <w:pStyle w:val="ListBullet"/>
        <w:spacing w:before="40" w:after="40"/>
      </w:pPr>
      <w:r>
        <w:rPr>
          <w:rFonts w:ascii="Arial" w:hAnsi="Arial"/>
          <w:b w:val="0"/>
          <w:i w:val="0"/>
          <w:color w:val="1A1A1A"/>
          <w:sz w:val="18"/>
        </w:rPr>
        <w:t>Building toward a 3 to 6 month emergency fund as income stabilizes</w:t>
      </w:r>
    </w:p>
    <w:p>
      <w:pPr>
        <w:spacing w:before="160" w:after="160"/>
      </w:pPr>
    </w:p>
    <w:p>
      <w:pPr>
        <w:spacing w:before="280" w:after="80"/>
      </w:pPr>
      <w:r>
        <w:rPr>
          <w:rFonts w:ascii="Arial" w:hAnsi="Arial"/>
          <w:b/>
          <w:i w:val="0"/>
          <w:color w:val="1F3864"/>
          <w:sz w:val="26"/>
        </w:rPr>
        <w:t>Your Next 3 Actions — Start Here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1</w:t>
            </w:r>
          </w:p>
        </w:tc>
        <w:tc>
          <w:tcPr>
            <w:tcW w:type="dxa" w:w="4680"/>
            <w:shd w:val="clear" w:color="auto" w:fill="F5F5F5"/>
          </w:tcPr>
          <w:p>
            <w:pPr>
              <w:spacing w:before="120" w:after="40"/>
            </w:pPr>
            <w:r>
              <w:rPr>
                <w:rFonts w:ascii="Arial" w:hAnsi="Arial"/>
                <w:b/>
                <w:i w:val="0"/>
                <w:color w:val="1F3864"/>
                <w:sz w:val="20"/>
              </w:rPr>
              <w:t>Contact OhioMeansJobs — open your WIOA application</w:t>
            </w:r>
          </w:p>
          <w:p>
            <w:pPr>
              <w:spacing w:before="0" w:after="120"/>
            </w:pPr>
            <w:r>
              <w:rPr>
                <w:rFonts w:ascii="Arial" w:hAnsi="Arial"/>
                <w:b w:val="0"/>
                <w:i w:val="0"/>
                <w:color w:val="444444"/>
                <w:sz w:val="18"/>
              </w:rPr>
              <w:t>Visit jobs.ohio.gov to find your nearest center. Bring two pay stubs, photo ID, and your most recent tax return. Ask specifically about approved online healthcare training programs.</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2</w:t>
            </w:r>
          </w:p>
        </w:tc>
        <w:tc>
          <w:tcPr>
            <w:tcW w:type="dxa" w:w="4680"/>
            <w:shd w:val="clear" w:color="auto" w:fill="F5F5F5"/>
          </w:tcPr>
          <w:p>
            <w:pPr>
              <w:spacing w:before="120" w:after="40"/>
            </w:pPr>
            <w:r>
              <w:rPr>
                <w:rFonts w:ascii="Arial" w:hAnsi="Arial"/>
                <w:b/>
                <w:i w:val="0"/>
                <w:color w:val="1F3864"/>
                <w:sz w:val="20"/>
              </w:rPr>
              <w:t>Complete your FAFSA at studentaid.gov</w:t>
            </w:r>
          </w:p>
          <w:p>
            <w:pPr>
              <w:spacing w:before="0" w:after="120"/>
            </w:pPr>
            <w:r>
              <w:rPr>
                <w:rFonts w:ascii="Arial" w:hAnsi="Arial"/>
                <w:b w:val="0"/>
                <w:i w:val="0"/>
                <w:color w:val="444444"/>
                <w:sz w:val="18"/>
              </w:rPr>
              <w:t>Takes 30 to 45 minutes. Unlocks Pell Grant eligibility at Columbus State and other Ohio community colleges offering healthcare administration programs online.</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3</w:t>
            </w:r>
          </w:p>
        </w:tc>
        <w:tc>
          <w:tcPr>
            <w:tcW w:type="dxa" w:w="4680"/>
            <w:shd w:val="clear" w:color="auto" w:fill="F5F5F5"/>
          </w:tcPr>
          <w:p>
            <w:pPr>
              <w:spacing w:before="120" w:after="40"/>
            </w:pPr>
            <w:r>
              <w:rPr>
                <w:rFonts w:ascii="Arial" w:hAnsi="Arial"/>
                <w:b/>
                <w:i w:val="0"/>
                <w:color w:val="1F3864"/>
                <w:sz w:val="20"/>
              </w:rPr>
              <w:t>Ask your employer about Ohio TechCred</w:t>
            </w:r>
          </w:p>
          <w:p>
            <w:pPr>
              <w:spacing w:before="0" w:after="120"/>
            </w:pPr>
            <w:r>
              <w:rPr>
                <w:rFonts w:ascii="Arial" w:hAnsi="Arial"/>
                <w:b w:val="0"/>
                <w:i w:val="0"/>
                <w:color w:val="444444"/>
                <w:sz w:val="18"/>
              </w:rPr>
              <w:t>Visit techcred.ohio.gov and forward the employer page to your supervisor or HR. If your employer participates, they can cover up to $2,000 of your certification cost with zero paperwork on your end.</w:t>
            </w:r>
          </w:p>
        </w:tc>
      </w:tr>
    </w:tbl>
    <w:p>
      <w:pPr>
        <w:spacing w:before="120" w:after="120"/>
      </w:pPr>
    </w:p>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20" w:after="120"/>
              <w:jc w:val="center"/>
            </w:pPr>
            <w:r>
              <w:rPr>
                <w:rFonts w:ascii="Arial" w:hAnsi="Arial"/>
                <w:b w:val="0"/>
                <w:i/>
                <w:color w:val="FFFFFF"/>
                <w:sz w:val="16"/>
              </w:rPr>
              <w:t>ARCmetry Career Intelligence  ·  arcmetry.com  ·  Mobility Analysis Report  ·  Confidential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