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4bfaac22f26484145bc4a0d543d9949d9adb33"/>
      <w:r>
        <w:t xml:space="preserve">Information Memorandum, Quantum 245, Tamworth</w:t>
      </w:r>
      <w:r>
        <w:t xml:space="preserve"> </w:t>
      </w:r>
      <w:r>
        <w:rPr>
          <w:i/>
        </w:rPr>
        <w:t xml:space="preserve">(Demo placeholder)</w:t>
      </w:r>
      <w:bookmarkEnd w:id="20"/>
    </w:p>
    <w:p>
      <w:pPr>
        <w:numPr>
          <w:ilvl w:val="0"/>
          <w:numId w:val="1001"/>
        </w:numPr>
        <w:pStyle w:val="Compact"/>
      </w:pPr>
      <w:r>
        <w:t xml:space="preserve">Executive summary, prime, long-let logistics; quoting £55,000,000 (5.15% NIY).</w:t>
      </w:r>
    </w:p>
    <w:p>
      <w:pPr>
        <w:numPr>
          <w:ilvl w:val="0"/>
          <w:numId w:val="1001"/>
        </w:numPr>
        <w:pStyle w:val="Compact"/>
      </w:pPr>
      <w:r>
        <w:t xml:space="preserve">Location, Birch Coppice Business Park, J10 M42, golden-triangle logistics core.</w:t>
      </w:r>
    </w:p>
    <w:p>
      <w:pPr>
        <w:numPr>
          <w:ilvl w:val="0"/>
          <w:numId w:val="1001"/>
        </w:numPr>
        <w:pStyle w:val="Compact"/>
      </w:pPr>
      <w:r>
        <w:t xml:space="preserve">The property, 245,000 sq ft, 12.5m+ clear height, 50m yard, cross-docked, EPC A.</w:t>
      </w:r>
    </w:p>
    <w:p>
      <w:pPr>
        <w:numPr>
          <w:ilvl w:val="0"/>
          <w:numId w:val="1001"/>
        </w:numPr>
        <w:pStyle w:val="Compact"/>
      </w:pPr>
      <w:r>
        <w:t xml:space="preserve">Tenancy, GXO Logistics UK Ltd, 15-yr FRI from 2021, £2,832,500 per annum (≈ £11.56 psf), RPI reviews, ~10.5 yrs unexpired.</w:t>
      </w:r>
    </w:p>
    <w:p>
      <w:pPr>
        <w:numPr>
          <w:ilvl w:val="0"/>
          <w:numId w:val="1001"/>
        </w:numPr>
        <w:pStyle w:val="Compact"/>
      </w:pPr>
      <w:r>
        <w:t xml:space="preserve">Covenant, GXO Logistics; strong financials, global 3PL.</w:t>
      </w:r>
    </w:p>
    <w:p>
      <w:pPr>
        <w:numPr>
          <w:ilvl w:val="0"/>
          <w:numId w:val="1001"/>
        </w:numPr>
        <w:pStyle w:val="Compact"/>
      </w:pPr>
      <w:r>
        <w:t xml:space="preserve">Tenure &amp; VAT, freehold; Opted to tax; sale to proceed as a TOGC.</w:t>
      </w:r>
    </w:p>
    <w:p>
      <w:pPr>
        <w:numPr>
          <w:ilvl w:val="0"/>
          <w:numId w:val="1001"/>
        </w:numPr>
        <w:pStyle w:val="Compact"/>
      </w:pPr>
      <w:r>
        <w:t xml:space="preserve">Proposal, informal tender, two rounds; quoting £55,000,000 (5.15% NIY).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2026-06-09T08:57:05Z</dcterms:created>
  <dcterms:modified xsi:type="dcterms:W3CDTF">2026-06-09T08:57:05Z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