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98b9934cd4418954864c93f97728b93e321b70"/>
      <w:r>
        <w:t xml:space="preserve">Exclusivity / lockout agreement</w:t>
      </w:r>
      <w:r>
        <w:t xml:space="preserve"> </w:t>
      </w:r>
      <w:r>
        <w:rPr>
          <w:i/>
        </w:rPr>
        <w:t xml:space="preserve">(EXAMPLE, placeholder)</w:t>
      </w:r>
      <w:bookmarkEnd w:id="20"/>
    </w:p>
    <w:p>
      <w:pPr>
        <w:pStyle w:val="FirstParagraph"/>
      </w:pPr>
      <w:r>
        <w:t xml:space="preserve">Helix Real Estate Partners LLP grants Prologis UK exclusivity to</w:t>
      </w:r>
      <w:r>
        <w:t xml:space="preserve"> </w:t>
      </w:r>
      <w:r>
        <w:rPr>
          <w:b/>
        </w:rPr>
        <w:t xml:space="preserve">2026-05-27</w:t>
      </w:r>
      <w:r>
        <w:t xml:space="preserve"> </w:t>
      </w:r>
      <w:r>
        <w:t xml:space="preserve">to</w:t>
      </w:r>
      <w:r>
        <w:t xml:space="preserve"> </w:t>
      </w:r>
      <w:r>
        <w:t xml:space="preserve">progress the acquisition of Quantum 245, Tamworth on the agreed Heads of Terms, during which the</w:t>
      </w:r>
      <w:r>
        <w:t xml:space="preserve"> </w:t>
      </w:r>
      <w:r>
        <w:t xml:space="preserve">seller will not solicit or accept competing offers. Subject to contract.</w:t>
      </w:r>
      <w:r>
        <w:t xml:space="preserve"> </w:t>
      </w:r>
      <w:r>
        <w:rPr>
          <w:i/>
        </w:rPr>
        <w:t xml:space="preserve">(Demo placeholder, for solicitor review.)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2026-06-09T08:57:06Z</dcterms:created>
  <dcterms:modified xsi:type="dcterms:W3CDTF">2026-06-09T08:57:06Z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