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heads-of-terms"/>
      <w:r>
        <w:t xml:space="preserve">Heads of Terms</w:t>
      </w:r>
      <w:bookmarkEnd w:id="20"/>
    </w:p>
    <w:p>
      <w:pPr>
        <w:pStyle w:val="Heading2"/>
      </w:pPr>
      <w:bookmarkStart w:id="21" w:name="Xb75dd73a7d25744b3aec3186a309a8925176a6a"/>
      <w:r>
        <w:t xml:space="preserve">Sale of the freehold interest in Quantum 245, Tamworth</w:t>
      </w:r>
      <w:bookmarkEnd w:id="21"/>
    </w:p>
    <w:p>
      <w:pPr>
        <w:pStyle w:val="FirstParagraph"/>
      </w:pPr>
      <w:r>
        <w:rPr>
          <w:b/>
        </w:rPr>
        <w:t xml:space="preserve">Subject to contract. Not legally binding except for the clauses expressed to be binding (Exclusivity, Costs and Confidentiality).</w:t>
      </w:r>
    </w:p>
    <w:p>
      <w:pPr>
        <w:pStyle w:val="BodyText"/>
      </w:pPr>
      <w:r>
        <w:rPr>
          <w:b/>
        </w:rPr>
        <w:t xml:space="preserve">Date:</w:t>
      </w:r>
      <w:r>
        <w:t xml:space="preserve"> </w:t>
      </w:r>
      <w:r>
        <w:t xml:space="preserve">13 May 2026</w:t>
      </w:r>
      <w:r>
        <w:t xml:space="preserve"> </w:t>
      </w:r>
      <w:r>
        <w:rPr>
          <w:b/>
        </w:rPr>
        <w:t xml:space="preserve">Mandate reference:</w:t>
      </w:r>
      <w:r>
        <w:t xml:space="preserve"> </w:t>
      </w:r>
      <w:r>
        <w:t xml:space="preserve">HELIX-2026-007</w:t>
      </w:r>
      <w:r>
        <w:t xml:space="preserve"> </w:t>
      </w:r>
      <w:r>
        <w:rPr>
          <w:b/>
        </w:rPr>
        <w:t xml:space="preserve">Prepared by:</w:t>
      </w:r>
      <w:r>
        <w:t xml:space="preserve"> </w:t>
      </w:r>
      <w:r>
        <w:t xml:space="preserve">Adam Moore, Director, sole selling agent for the Seller</w:t>
      </w:r>
    </w:p>
    <w:p>
      <w:pPr>
        <w:pStyle w:val="BodyText"/>
      </w:pPr>
      <w:r>
        <w:t xml:space="preserve">These Heads of Terms record the principal terms provisionally agreed between the parties for the proposed sale of the Property following the conclusion of a two-round informal tender. They are issued for the parties' solicitors to settle the formal contract and, save where stated, create no legally binding obligation to proceed.</w:t>
      </w:r>
    </w:p>
    <w:p>
      <w:pPr>
        <w:pStyle w:val="Heading2"/>
      </w:pPr>
      <w:bookmarkStart w:id="22" w:name="Xd0ccf599074103c4eea03699019b8b873d663aa"/>
      <w:r>
        <w:t xml:space="preserve">1. The Property</w:t>
      </w:r>
      <w:bookmarkEnd w:id="22"/>
    </w:p>
    <w:p>
      <w:pPr>
        <w:pStyle w:val="FirstParagraph"/>
      </w:pPr>
      <w:r>
        <w:t xml:space="preserve">The freehold interest in Quantum 245, Birch Coppice Business Park, Tamworth, Staffordshire B78 1SE, comprising a single-let distribution warehouse of 245,000 sq ft GIA, registered at HM Land Registry under title number SF000000 ("the Property").</w:t>
      </w:r>
    </w:p>
    <w:p>
      <w:pPr>
        <w:pStyle w:val="Heading2"/>
      </w:pPr>
      <w:bookmarkStart w:id="23" w:name="X7ed2adffd84ec45ed2862da06786423298ac3ff"/>
      <w:r>
        <w:t xml:space="preserve">2. The parties</w:t>
      </w:r>
      <w:bookmarkEnd w:id="23"/>
    </w:p>
    <w:tbl>
      <w:tblPr>
        <w:tblStyle w:val="Table"/>
        <w:tblW w:type="pct" w:w="0.0"/>
        <w:tblLook w:firstRow="1"/>
      </w:tblPr>
      <w:tblGrid/>
      <w:tr>
        <w:trPr>
          <w:cnfStyle w:firstRow="1"/>
        </w:trPr>
        <w:tc>
          <w:tcPr>
            <w:tcBorders>
              <w:bottom w:val="single"/>
            </w:tcBorders>
            <w:vAlign w:val="bottom"/>
          </w:tcPr>
          <w:p>
            <w:pPr>
              <w:pStyle w:val="Compact"/>
              <w:jc w:val="left"/>
            </w:pPr>
            <w:r>
              <w:t xml:space="preserve">Role</w:t>
            </w:r>
          </w:p>
        </w:tc>
        <w:tc>
          <w:tcPr>
            <w:tcBorders>
              <w:bottom w:val="single"/>
            </w:tcBorders>
            <w:vAlign w:val="bottom"/>
          </w:tcPr>
          <w:p>
            <w:pPr>
              <w:pStyle w:val="Compact"/>
              <w:jc w:val="left"/>
            </w:pPr>
            <w:r>
              <w:t xml:space="preserve">Party</w:t>
            </w:r>
          </w:p>
        </w:tc>
      </w:tr>
      <w:tr>
        <w:tc>
          <w:p>
            <w:pPr>
              <w:pStyle w:val="Compact"/>
              <w:jc w:val="left"/>
            </w:pPr>
            <w:r>
              <w:t xml:space="preserve">Seller</w:t>
            </w:r>
          </w:p>
        </w:tc>
        <w:tc>
          <w:p>
            <w:pPr>
              <w:pStyle w:val="Compact"/>
              <w:jc w:val="left"/>
            </w:pPr>
            <w:r>
              <w:t xml:space="preserve">Helix Real Estate Partners LLP</w:t>
            </w:r>
          </w:p>
        </w:tc>
      </w:tr>
      <w:tr>
        <w:tc>
          <w:p>
            <w:pPr>
              <w:pStyle w:val="Compact"/>
              <w:jc w:val="left"/>
            </w:pPr>
            <w:r>
              <w:t xml:space="preserve">Buyer</w:t>
            </w:r>
          </w:p>
        </w:tc>
        <w:tc>
          <w:p>
            <w:pPr>
              <w:pStyle w:val="Compact"/>
              <w:jc w:val="left"/>
            </w:pPr>
            <w:r>
              <w:t xml:space="preserve">Prologis UK Limited (or a wholly owned group SPV to be named)</w:t>
            </w:r>
          </w:p>
        </w:tc>
      </w:tr>
      <w:tr>
        <w:tc>
          <w:p>
            <w:pPr>
              <w:pStyle w:val="Compact"/>
              <w:jc w:val="left"/>
            </w:pPr>
            <w:r>
              <w:t xml:space="preserve">Beneficial owner</w:t>
            </w:r>
          </w:p>
        </w:tc>
        <w:tc>
          <w:p>
            <w:pPr>
              <w:pStyle w:val="Compact"/>
              <w:jc w:val="left"/>
            </w:pPr>
            <w:r>
              <w:t xml:space="preserve">Prologis, Inc. group</w:t>
            </w:r>
          </w:p>
        </w:tc>
      </w:tr>
    </w:tbl>
    <w:p>
      <w:pPr>
        <w:pStyle w:val="BodyText"/>
      </w:pPr>
      <w:r>
        <w:t xml:space="preserve">The Buyer will confirm the contracting entity and its ultimate beneficial owner to the Seller's solicitor for anti-money-laundering purposes prior to exchange.</w:t>
      </w:r>
    </w:p>
    <w:p>
      <w:pPr>
        <w:pStyle w:val="Heading2"/>
      </w:pPr>
      <w:bookmarkStart w:id="24" w:name="Xb6b343685c689f14418da9bc37110c3869e99fb"/>
      <w:r>
        <w:t xml:space="preserve">3. Tenancy</w:t>
      </w:r>
      <w:bookmarkEnd w:id="24"/>
    </w:p>
    <w:p>
      <w:pPr>
        <w:pStyle w:val="FirstParagraph"/>
      </w:pPr>
      <w:r>
        <w:t xml:space="preserve">The Property is let in its entirety to GXO Logistics UK Ltd on a full repairing and insuring lease for a term of 15 years from 25 March 2021 (expiring 24 March 2036), at a passing rent of £2,832,500 per annum, with five-yearly open market upward only rent reviews, the next on 25 March 2031. The sale is of the investment subject to and with the benefit of this lease.</w:t>
      </w:r>
    </w:p>
    <w:p>
      <w:pPr>
        <w:pStyle w:val="Heading2"/>
      </w:pPr>
      <w:bookmarkStart w:id="25" w:name="X3f140ec20d14a7ad0b26880c19ed166eb62b800"/>
      <w:r>
        <w:t xml:space="preserve">4. Transaction structure and VAT</w:t>
      </w:r>
      <w:bookmarkEnd w:id="25"/>
    </w:p>
    <w:p>
      <w:pPr>
        <w:pStyle w:val="FirstParagraph"/>
      </w:pPr>
      <w:r>
        <w:t xml:space="preserve">Asset sale of the freehold investment. The Property is elected for VAT and the sale is to proceed as a transfer of a going concern (TOGC), with no VAT chargeable on the price, conditional on the Buyer being VAT registered and electing to tax with effect from no later than the date of exchange and notifying that election to HM Revenue and Customs.</w:t>
      </w:r>
    </w:p>
    <w:p>
      <w:pPr>
        <w:pStyle w:val="Heading2"/>
      </w:pPr>
      <w:bookmarkStart w:id="26" w:name="X9c719f1cc86d0288198b7e98fa50d0bb12fd58f"/>
      <w:r>
        <w:t xml:space="preserve">5. Purchase price</w:t>
      </w:r>
      <w:bookmarkEnd w:id="26"/>
    </w:p>
    <w:p>
      <w:pPr>
        <w:pStyle w:val="FirstParagraph"/>
      </w:pPr>
      <w:r>
        <w:t xml:space="preserve">£57,600,000 (Fifty-seven million six hundred thousand pounds), reflecting a net initial yield of approximately 4.92% on the passing rent, exclusive of the Buyer's costs. The price represents 4.7% above the quoting price of £55,000,000.</w:t>
      </w:r>
    </w:p>
    <w:p>
      <w:pPr>
        <w:pStyle w:val="Heading2"/>
      </w:pPr>
      <w:bookmarkStart w:id="27" w:name="X2ff074466729d7dad1ce82a9df40c9819a9764d"/>
      <w:r>
        <w:t xml:space="preserve">6. Deposit</w:t>
      </w:r>
      <w:bookmarkEnd w:id="27"/>
    </w:p>
    <w:p>
      <w:pPr>
        <w:pStyle w:val="FirstParagraph"/>
      </w:pPr>
      <w:r>
        <w:t xml:space="preserve">A deposit of 10% of the purchase price (£5,760,000) is payable on exchange of contracts, to be held by the Seller's solicitor as stakeholder pending completion.</w:t>
      </w:r>
    </w:p>
    <w:p>
      <w:pPr>
        <w:pStyle w:val="Heading2"/>
      </w:pPr>
      <w:bookmarkStart w:id="28" w:name="Xc998869c6ff8953ee8b17de2f8604d12b8b914d"/>
      <w:r>
        <w:t xml:space="preserve">7. Conditions</w:t>
      </w:r>
      <w:bookmarkEnd w:id="28"/>
    </w:p>
    <w:p>
      <w:pPr>
        <w:pStyle w:val="FirstParagraph"/>
      </w:pPr>
      <w:r>
        <w:t xml:space="preserve">The sale is unconditional and subject to contract. The Buyer confirms that its investment committee approval has been obtained, that funding is in place from group equity, and that proof of funds has been provided. Completion is not conditional on any further internal approval, finance, survey or planning.</w:t>
      </w:r>
    </w:p>
    <w:p>
      <w:pPr>
        <w:pStyle w:val="Heading2"/>
      </w:pPr>
      <w:bookmarkStart w:id="29" w:name="X04d8151c8d3cd5e5ccc5dfacdef163e375ba246"/>
      <w:r>
        <w:t xml:space="preserve">8. Title and due diligence</w:t>
      </w:r>
      <w:bookmarkEnd w:id="29"/>
    </w:p>
    <w:p>
      <w:pPr>
        <w:pStyle w:val="FirstParagraph"/>
      </w:pPr>
      <w:r>
        <w:t xml:space="preserve">The Seller's solicitor will provide a contract pack comprising official copies, the lease, the tenancy schedule and rent deposit documentation, replies to CPSE enquiries and the vendor due diligence report. The Buyer has had access to the data room and will rely on its own searches and the replies to enquiries.</w:t>
      </w:r>
    </w:p>
    <w:p>
      <w:pPr>
        <w:pStyle w:val="Heading2"/>
      </w:pPr>
      <w:bookmarkStart w:id="30" w:name="Xa2e279c70e1222bcfdffe31b85dbc057d79d43d"/>
      <w:r>
        <w:t xml:space="preserve">9. Apportionments</w:t>
      </w:r>
      <w:bookmarkEnd w:id="30"/>
    </w:p>
    <w:p>
      <w:pPr>
        <w:pStyle w:val="FirstParagraph"/>
      </w:pPr>
      <w:r>
        <w:t xml:space="preserve">Rent and service charge will be apportioned at completion. The benefit of any rent deposit or guarantee held in respect of the lease will be assigned or accounted for to the Buyer at completion.</w:t>
      </w:r>
    </w:p>
    <w:p>
      <w:pPr>
        <w:pStyle w:val="Heading2"/>
      </w:pPr>
      <w:bookmarkStart w:id="31" w:name="X28b6db97a22e511b5cde235aec600f40c857153"/>
      <w:r>
        <w:t xml:space="preserve">10. Timetable</w:t>
      </w:r>
      <w:bookmarkEnd w:id="31"/>
    </w:p>
    <w:tbl>
      <w:tblPr>
        <w:tblStyle w:val="Table"/>
        <w:tblW w:type="pct" w:w="0.0"/>
        <w:tblLook w:firstRow="1"/>
      </w:tblPr>
      <w:tblGrid/>
      <w:tr>
        <w:trPr>
          <w:cnfStyle w:firstRow="1"/>
        </w:trPr>
        <w:tc>
          <w:tcPr>
            <w:tcBorders>
              <w:bottom w:val="single"/>
            </w:tcBorders>
            <w:vAlign w:val="bottom"/>
          </w:tcPr>
          <w:p>
            <w:pPr>
              <w:pStyle w:val="Compact"/>
              <w:jc w:val="left"/>
            </w:pPr>
            <w:r>
              <w:t xml:space="preserve">Milestone</w:t>
            </w:r>
          </w:p>
        </w:tc>
        <w:tc>
          <w:tcPr>
            <w:tcBorders>
              <w:bottom w:val="single"/>
            </w:tcBorders>
            <w:vAlign w:val="bottom"/>
          </w:tcPr>
          <w:p>
            <w:pPr>
              <w:pStyle w:val="Compact"/>
              <w:jc w:val="left"/>
            </w:pPr>
            <w:r>
              <w:t xml:space="preserve">Target</w:t>
            </w:r>
          </w:p>
        </w:tc>
      </w:tr>
      <w:tr>
        <w:tc>
          <w:p>
            <w:pPr>
              <w:pStyle w:val="Compact"/>
              <w:jc w:val="left"/>
            </w:pPr>
            <w:r>
              <w:t xml:space="preserve">Solicitors instructed</w:t>
            </w:r>
          </w:p>
        </w:tc>
        <w:tc>
          <w:p>
            <w:pPr>
              <w:pStyle w:val="Compact"/>
              <w:jc w:val="left"/>
            </w:pPr>
            <w:r>
              <w:t xml:space="preserve">Week commencing 14 May 2026</w:t>
            </w:r>
          </w:p>
        </w:tc>
      </w:tr>
      <w:tr>
        <w:tc>
          <w:p>
            <w:pPr>
              <w:pStyle w:val="Compact"/>
              <w:jc w:val="left"/>
            </w:pPr>
            <w:r>
              <w:t xml:space="preserve">Contract pack issued</w:t>
            </w:r>
          </w:p>
        </w:tc>
        <w:tc>
          <w:p>
            <w:pPr>
              <w:pStyle w:val="Compact"/>
              <w:jc w:val="left"/>
            </w:pPr>
            <w:r>
              <w:t xml:space="preserve">18 May 2026</w:t>
            </w:r>
          </w:p>
        </w:tc>
      </w:tr>
      <w:tr>
        <w:tc>
          <w:p>
            <w:pPr>
              <w:pStyle w:val="Compact"/>
              <w:jc w:val="left"/>
            </w:pPr>
            <w:r>
              <w:t xml:space="preserve">Exchange of contracts</w:t>
            </w:r>
          </w:p>
        </w:tc>
        <w:tc>
          <w:p>
            <w:pPr>
              <w:pStyle w:val="Compact"/>
              <w:jc w:val="left"/>
            </w:pPr>
            <w:r>
              <w:t xml:space="preserve">1 June 2026</w:t>
            </w:r>
          </w:p>
        </w:tc>
      </w:tr>
      <w:tr>
        <w:tc>
          <w:p>
            <w:pPr>
              <w:pStyle w:val="Compact"/>
              <w:jc w:val="left"/>
            </w:pPr>
            <w:r>
              <w:t xml:space="preserve">Completion</w:t>
            </w:r>
          </w:p>
        </w:tc>
        <w:tc>
          <w:p>
            <w:pPr>
              <w:pStyle w:val="Compact"/>
              <w:jc w:val="left"/>
            </w:pPr>
            <w:r>
              <w:t xml:space="preserve">5 June 2026</w:t>
            </w:r>
          </w:p>
        </w:tc>
      </w:tr>
    </w:tbl>
    <w:p>
      <w:pPr>
        <w:pStyle w:val="Heading2"/>
      </w:pPr>
      <w:bookmarkStart w:id="32" w:name="X9d9a6df338fbf7fc1c498ad77f80609cb5c0ed4"/>
      <w:r>
        <w:t xml:space="preserve">11. Exclusivity (binding)</w:t>
      </w:r>
      <w:bookmarkEnd w:id="32"/>
    </w:p>
    <w:p>
      <w:pPr>
        <w:pStyle w:val="FirstParagraph"/>
      </w:pPr>
      <w:r>
        <w:t xml:space="preserve">The Seller agrees not to market the Property to, negotiate with, or accept offers from any other party for a period expiring at 17:00 on 27 May 2026 ("the Exclusivity Period"), provided the Buyer proceeds with reasonable diligence towards exchange. This clause is intended to be legally binding.</w:t>
      </w:r>
    </w:p>
    <w:p>
      <w:pPr>
        <w:pStyle w:val="Heading2"/>
      </w:pPr>
      <w:bookmarkStart w:id="33" w:name="X4636755092a27897ed681ab5da009a865720472"/>
      <w:r>
        <w:t xml:space="preserve">12. Costs (binding)</w:t>
      </w:r>
      <w:bookmarkEnd w:id="33"/>
    </w:p>
    <w:p>
      <w:pPr>
        <w:pStyle w:val="FirstParagraph"/>
      </w:pPr>
      <w:r>
        <w:t xml:space="preserve">Each party bears its own professional and other costs in connection with the transaction, whether or not it proceeds. This clause is intended to be legally binding.</w:t>
      </w:r>
    </w:p>
    <w:p>
      <w:pPr>
        <w:pStyle w:val="Heading2"/>
      </w:pPr>
      <w:bookmarkStart w:id="34" w:name="Xe67e45bb8cfe0883589840b15c9d23d318d6f68"/>
      <w:r>
        <w:t xml:space="preserve">13. Confidentiality (binding)</w:t>
      </w:r>
      <w:bookmarkEnd w:id="34"/>
    </w:p>
    <w:p>
      <w:pPr>
        <w:pStyle w:val="FirstParagraph"/>
      </w:pPr>
      <w:r>
        <w:t xml:space="preserve">The terms of the transaction and all information exchanged remain confidential and are subject to the non-disclosure agreement already executed between the parties. This clause is intended to be legally binding.</w:t>
      </w:r>
    </w:p>
    <w:p>
      <w:pPr>
        <w:pStyle w:val="Heading2"/>
      </w:pPr>
      <w:bookmarkStart w:id="35" w:name="Xae72f81dbd0619b700bae998fb4a86f91efc94d"/>
      <w:r>
        <w:t xml:space="preserve">14. Professional advisers</w:t>
      </w:r>
      <w:bookmarkEnd w:id="35"/>
    </w:p>
    <w:tbl>
      <w:tblPr>
        <w:tblStyle w:val="Table"/>
        <w:tblW w:type="pct" w:w="0.0"/>
        <w:tblLook w:firstRow="1"/>
      </w:tblPr>
      <w:tblGrid/>
      <w:tr>
        <w:trPr>
          <w:cnfStyle w:firstRow="1"/>
        </w:trPr>
        <w:tc>
          <w:tcPr>
            <w:tcBorders>
              <w:bottom w:val="single"/>
            </w:tcBorders>
            <w:vAlign w:val="bottom"/>
          </w:tcPr>
          <w:p>
            <w:pPr>
              <w:pStyle w:val="Compact"/>
              <w:jc w:val="left"/>
            </w:pPr>
            <w:r>
              <w:t xml:space="preserve">Role</w:t>
            </w:r>
          </w:p>
        </w:tc>
        <w:tc>
          <w:tcPr>
            <w:tcBorders>
              <w:bottom w:val="single"/>
            </w:tcBorders>
            <w:vAlign w:val="bottom"/>
          </w:tcPr>
          <w:p>
            <w:pPr>
              <w:pStyle w:val="Compact"/>
              <w:jc w:val="left"/>
            </w:pPr>
            <w:r>
              <w:t xml:space="preserve">Seller</w:t>
            </w:r>
          </w:p>
        </w:tc>
        <w:tc>
          <w:tcPr>
            <w:tcBorders>
              <w:bottom w:val="single"/>
            </w:tcBorders>
            <w:vAlign w:val="bottom"/>
          </w:tcPr>
          <w:p>
            <w:pPr>
              <w:pStyle w:val="Compact"/>
              <w:jc w:val="left"/>
            </w:pPr>
            <w:r>
              <w:t xml:space="preserve">Buyer</w:t>
            </w:r>
          </w:p>
        </w:tc>
      </w:tr>
      <w:tr>
        <w:tc>
          <w:p>
            <w:pPr>
              <w:pStyle w:val="Compact"/>
              <w:jc w:val="left"/>
            </w:pPr>
            <w:r>
              <w:t xml:space="preserve">Solicitor</w:t>
            </w:r>
          </w:p>
        </w:tc>
        <w:tc>
          <w:p>
            <w:pPr>
              <w:pStyle w:val="Compact"/>
              <w:jc w:val="left"/>
            </w:pPr>
            <w:r>
              <w:t xml:space="preserve">Eversheds Sutherland</w:t>
            </w:r>
          </w:p>
        </w:tc>
        <w:tc>
          <w:p>
            <w:pPr>
              <w:pStyle w:val="Compact"/>
              <w:jc w:val="left"/>
            </w:pPr>
            <w:r>
              <w:t xml:space="preserve">Hogan Lovells</w:t>
            </w:r>
          </w:p>
        </w:tc>
      </w:tr>
      <w:tr>
        <w:tc>
          <w:p>
            <w:pPr>
              <w:pStyle w:val="Compact"/>
              <w:jc w:val="left"/>
            </w:pPr>
            <w:r>
              <w:t xml:space="preserve">Selling agent</w:t>
            </w:r>
          </w:p>
        </w:tc>
        <w:tc>
          <w:p>
            <w:pPr>
              <w:pStyle w:val="Compact"/>
              <w:jc w:val="left"/>
            </w:pPr>
            <w:r>
              <w:t xml:space="preserve">Adam Moore, Director</w:t>
            </w:r>
          </w:p>
        </w:tc>
        <w:tc>
          <w:p>
            <w:pPr>
              <w:pStyle w:val="Compact"/>
              <w:jc w:val="left"/>
            </w:pPr>
            <w:r>
              <w:t xml:space="preserve">Prologis UK acquisitions team</w:t>
            </w:r>
          </w:p>
        </w:tc>
      </w:tr>
    </w:tbl>
    <w:p>
      <w:pPr>
        <w:pStyle w:val="Heading2"/>
      </w:pPr>
      <w:bookmarkStart w:id="36" w:name="X994a6fa586527e936276f0d7d12de79e398cff4"/>
      <w:r>
        <w:t xml:space="preserve">15. Status</w:t>
      </w:r>
      <w:bookmarkEnd w:id="36"/>
    </w:p>
    <w:p>
      <w:pPr>
        <w:pStyle w:val="FirstParagraph"/>
      </w:pPr>
      <w:r>
        <w:t xml:space="preserve">These Heads of Terms are issued subject to contract. Save for clauses 11, 12 and 13, they create no legally binding obligation on either party, which arises only on exchange of contracts in the form to be settled between the parties' solicitors.</w:t>
      </w:r>
    </w:p>
    <w:p>
      <w:pPr>
        <w:pStyle w:val="BodyText"/>
      </w:pPr>
      <w:r>
        <w:t xml:space="preserve">For and on behalf of the Seller: ______________________ Date: __________</w:t>
      </w:r>
    </w:p>
    <w:p>
      <w:pPr>
        <w:pStyle w:val="BodyText"/>
      </w:pPr>
      <w:r>
        <w:t xml:space="preserve">For and on behalf of the Buyer: ______________________ Date: __________</w:t>
      </w:r>
    </w:p>
    <w:p>
      <w:pPr>
        <w:pStyle w:val="BodyText"/>
      </w:pPr>
      <w:r>
        <w:rPr>
          <w:i/>
        </w:rPr>
        <w:t xml:space="preserve">Demo placeholder, fictional deal, not a real executed document. For solicitor review.</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2026-06-09T09:07:32Z</dcterms:created>
  <dcterms:modified xsi:type="dcterms:W3CDTF">2026-06-09T09:07:32Z</dcterms:modified>
</cp:coreProperties>
</file>

<file path=docProps/custom.xml><?xml version="1.0" encoding="utf-8"?>
<Properties xmlns="http://schemas.openxmlformats.org/officeDocument/2006/custom-properties" xmlns:vt="http://schemas.openxmlformats.org/officeDocument/2006/docPropsVTypes"/>
</file>