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eb87394092b716d3264df446d86a18157d50d"/>
      <w:r>
        <w:t xml:space="preserve">Client update, launch week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2026-03-13</w:t>
      </w:r>
    </w:p>
    <w:p>
      <w:pPr>
        <w:pStyle w:val="BodyText"/>
      </w:pPr>
      <w:r>
        <w:t xml:space="preserve">Teaser issued to the qualified logistics buyer list.</w:t>
      </w:r>
      <w:r>
        <w:t xml:space="preserve"> </w:t>
      </w:r>
      <w:r>
        <w:rPr>
          <w:b/>
        </w:rPr>
        <w:t xml:space="preserve">17 expressions of interest</w:t>
      </w:r>
      <w:r>
        <w:t xml:space="preserve">;</w:t>
      </w:r>
      <w:r>
        <w:t xml:space="preserve"> </w:t>
      </w:r>
      <w:r>
        <w:t xml:space="preserve">NDAs issued to the six leading parties. Data room indexed and ready to open on signature.</w:t>
      </w:r>
      <w:r>
        <w:t xml:space="preserve"> </w:t>
      </w:r>
      <w:r>
        <w:t xml:space="preserve">Inspections to be arranged for signed parties next week. Round 1 process letter targeted</w:t>
      </w:r>
      <w:r>
        <w:t xml:space="preserve"> </w:t>
      </w:r>
      <w:r>
        <w:t xml:space="preserve">for 7 April. Adam.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