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ound-1-bid-report-quantum-245-tamworth"/>
      <w:r>
        <w:t xml:space="preserve">Round 1 bid report (Quantum 245, Tamworth)</w:t>
      </w:r>
      <w:bookmarkEnd w:id="20"/>
    </w:p>
    <w:p>
      <w:pPr>
        <w:pStyle w:val="FirstParagraph"/>
      </w:pPr>
      <w:r>
        <w:rPr>
          <w:b/>
        </w:rPr>
        <w:t xml:space="preserve">To:</w:t>
      </w:r>
      <w:r>
        <w:t xml:space="preserve"> </w:t>
      </w:r>
      <w:r>
        <w:t xml:space="preserve">Helix Real Estate Partners LLP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2026-04-09</w:t>
      </w:r>
    </w:p>
    <w:p>
      <w:pPr>
        <w:pStyle w:val="BodyText"/>
      </w:pPr>
      <w:r>
        <w:t xml:space="preserve">Five round-1 offers received, £52,000,000-£54,500,000: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NIY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Prologis UK</w:t>
            </w:r>
          </w:p>
        </w:tc>
        <w:tc>
          <w:p>
            <w:pPr>
              <w:pStyle w:val="Compact"/>
              <w:jc w:val="left"/>
            </w:pPr>
            <w:r>
              <w:t xml:space="preserve">£54,500,000</w:t>
            </w:r>
          </w:p>
        </w:tc>
        <w:tc>
          <w:p>
            <w:pPr>
              <w:pStyle w:val="Compact"/>
              <w:jc w:val="left"/>
            </w:pPr>
            <w:r>
              <w:t xml:space="preserve">5.20%</w:t>
            </w:r>
          </w:p>
        </w:tc>
        <w:tc>
          <w:p>
            <w:pPr>
              <w:pStyle w:val="Compact"/>
              <w:jc w:val="left"/>
            </w:pPr>
            <w:r>
              <w:t xml:space="preserve">STC only</w:t>
            </w:r>
          </w:p>
        </w:tc>
        <w:tc>
          <w:p>
            <w:pPr>
              <w:pStyle w:val="Compact"/>
              <w:jc w:val="left"/>
            </w:pPr>
            <w:r>
              <w:t xml:space="preserve">6 wks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SEGRO plc</w:t>
            </w:r>
          </w:p>
        </w:tc>
        <w:tc>
          <w:p>
            <w:pPr>
              <w:pStyle w:val="Compact"/>
              <w:jc w:val="left"/>
            </w:pPr>
            <w:r>
              <w:t xml:space="preserve">£53,500,000</w:t>
            </w:r>
          </w:p>
        </w:tc>
        <w:tc>
          <w:p>
            <w:pPr>
              <w:pStyle w:val="Compact"/>
              <w:jc w:val="left"/>
            </w:pPr>
            <w:r>
              <w:t xml:space="preserve">5.29%</w:t>
            </w:r>
          </w:p>
        </w:tc>
        <w:tc>
          <w:p>
            <w:pPr>
              <w:pStyle w:val="Compact"/>
              <w:jc w:val="left"/>
            </w:pPr>
            <w:r>
              <w:t xml:space="preserve">IC + DD</w:t>
            </w:r>
          </w:p>
        </w:tc>
        <w:tc>
          <w:p>
            <w:pPr>
              <w:pStyle w:val="Compact"/>
              <w:jc w:val="left"/>
            </w:pPr>
            <w:r>
              <w:t xml:space="preserve">6 wks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KKR Real Estate</w:t>
            </w:r>
          </w:p>
        </w:tc>
        <w:tc>
          <w:p>
            <w:pPr>
              <w:pStyle w:val="Compact"/>
              <w:jc w:val="left"/>
            </w:pPr>
            <w:r>
              <w:t xml:space="preserve">£53,000,000</w:t>
            </w:r>
          </w:p>
        </w:tc>
        <w:tc>
          <w:p>
            <w:pPr>
              <w:pStyle w:val="Compact"/>
              <w:jc w:val="left"/>
            </w:pPr>
            <w:r>
              <w:t xml:space="preserve">5.34%</w:t>
            </w:r>
          </w:p>
        </w:tc>
        <w:tc>
          <w:p>
            <w:pPr>
              <w:pStyle w:val="Compact"/>
              <w:jc w:val="left"/>
            </w:pPr>
            <w:r>
              <w:t xml:space="preserve">IC</w:t>
            </w:r>
          </w:p>
        </w:tc>
        <w:tc>
          <w:p>
            <w:pPr>
              <w:pStyle w:val="Compact"/>
              <w:jc w:val="left"/>
            </w:pPr>
            <w:r>
              <w:t xml:space="preserve">8 wks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Brookfield</w:t>
            </w:r>
          </w:p>
        </w:tc>
        <w:tc>
          <w:p>
            <w:pPr>
              <w:pStyle w:val="Compact"/>
              <w:jc w:val="left"/>
            </w:pPr>
            <w:r>
              <w:t xml:space="preserve">£52,500,000</w:t>
            </w:r>
          </w:p>
        </w:tc>
        <w:tc>
          <w:p>
            <w:pPr>
              <w:pStyle w:val="Compact"/>
              <w:jc w:val="left"/>
            </w:pPr>
            <w:r>
              <w:t xml:space="preserve">5.39%</w:t>
            </w:r>
          </w:p>
        </w:tc>
        <w:tc>
          <w:p>
            <w:pPr>
              <w:pStyle w:val="Compact"/>
              <w:jc w:val="left"/>
            </w:pPr>
            <w:r>
              <w:t xml:space="preserve">Debt confirm</w:t>
            </w:r>
          </w:p>
        </w:tc>
        <w:tc>
          <w:p>
            <w:pPr>
              <w:pStyle w:val="Compact"/>
              <w:jc w:val="left"/>
            </w:pPr>
            <w:r>
              <w:t xml:space="preserve">8 wks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abrdn</w:t>
            </w:r>
          </w:p>
        </w:tc>
        <w:tc>
          <w:p>
            <w:pPr>
              <w:pStyle w:val="Compact"/>
              <w:jc w:val="left"/>
            </w:pPr>
            <w:r>
              <w:t xml:space="preserve">£52,000,000</w:t>
            </w:r>
          </w:p>
        </w:tc>
        <w:tc>
          <w:p>
            <w:pPr>
              <w:pStyle w:val="Compact"/>
              <w:jc w:val="left"/>
            </w:pPr>
            <w:r>
              <w:t xml:space="preserve">5.44%</w:t>
            </w:r>
          </w:p>
        </w:tc>
        <w:tc>
          <w:p>
            <w:pPr>
              <w:pStyle w:val="Compact"/>
              <w:jc w:val="left"/>
            </w:pPr>
            <w:r>
              <w:t xml:space="preserve">IC + committee</w:t>
            </w:r>
          </w:p>
        </w:tc>
        <w:tc>
          <w:p>
            <w:pPr>
              <w:pStyle w:val="Compact"/>
              <w:jc w:val="left"/>
            </w:pPr>
            <w:r>
              <w:t xml:space="preserve">10 wks</w:t>
            </w:r>
          </w:p>
        </w:tc>
      </w:tr>
    </w:tbl>
    <w:p>
      <w:pPr>
        <w:pStyle w:val="BodyText"/>
      </w:pPr>
      <w:r>
        <w:rPr>
          <w:b/>
        </w:rPr>
        <w:t xml:space="preserve">Recommendation:</w:t>
      </w:r>
      <w:r>
        <w:t xml:space="preserve"> </w:t>
      </w:r>
      <w:r>
        <w:t xml:space="preserve">strong field; go to best &amp; final to push price and terms. Adam.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2026-06-09T08:57:06Z</dcterms:created>
  <dcterms:modified xsi:type="dcterms:W3CDTF">2026-06-09T08:57:06Z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