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xchange-quantum-245-tamworth"/>
      <w:r>
        <w:t xml:space="preserve">Exchange (Quantum 245, Tamworth)</w:t>
      </w:r>
      <w:bookmarkEnd w:id="20"/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Helix Real Estate Partners LLP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2026-06-01</w:t>
      </w:r>
    </w:p>
    <w:p>
      <w:pPr>
        <w:pStyle w:val="BodyText"/>
      </w:pPr>
      <w:r>
        <w:t xml:space="preserve">Contracts exchanged at</w:t>
      </w:r>
      <w:r>
        <w:t xml:space="preserve"> </w:t>
      </w:r>
      <w:r>
        <w:rPr>
          <w:b/>
        </w:rPr>
        <w:t xml:space="preserve">£57,600,000</w:t>
      </w:r>
      <w:r>
        <w:t xml:space="preserve">. 10% deposit (£5,760,000) held as</w:t>
      </w:r>
      <w:r>
        <w:t xml:space="preserve"> </w:t>
      </w:r>
      <w:r>
        <w:t xml:space="preserve">stakeholder. Completion set for 5 June 2026. Adam.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2026-06-09T08:57:06Z</dcterms:created>
  <dcterms:modified xsi:type="dcterms:W3CDTF">2026-06-09T08:57:06Z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