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losing-report-quantum-245-tamworth"/>
      <w:r>
        <w:t xml:space="preserve">Closing report (Quantum 245, Tamworth)</w:t>
      </w:r>
      <w:bookmarkEnd w:id="20"/>
    </w:p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Helix Real Estate Partners LLP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2026-06-05</w:t>
      </w:r>
    </w:p>
    <w:p>
      <w:pPr>
        <w:pStyle w:val="BodyText"/>
      </w:pPr>
      <w:r>
        <w:t xml:space="preserve">The sale of Quantum 245, Tamworth</w:t>
      </w:r>
      <w:r>
        <w:t xml:space="preserve"> </w:t>
      </w:r>
      <w:r>
        <w:rPr>
          <w:b/>
        </w:rPr>
        <w:t xml:space="preserve">completed on 5 June 2026 at £57,600,000</w:t>
      </w:r>
      <w:r>
        <w:t xml:space="preserve"> </w:t>
      </w:r>
      <w:r>
        <w:t xml:space="preserve">to Prologis</w:t>
      </w:r>
      <w:r>
        <w:t xml:space="preserve"> </w:t>
      </w:r>
      <w:r>
        <w:t xml:space="preserve">UK,</w:t>
      </w:r>
      <w:r>
        <w:t xml:space="preserve"> </w:t>
      </w:r>
      <w:r>
        <w:rPr>
          <w:b/>
        </w:rPr>
        <w:t xml:space="preserve">4.7% above the £55,000,000 (5.15% NIY) quoting price</w:t>
      </w:r>
      <w:r>
        <w:t xml:space="preserve">. Process: informal tender,</w:t>
      </w:r>
      <w:r>
        <w:t xml:space="preserve"> </w:t>
      </w:r>
      <w:r>
        <w:t xml:space="preserve">two rounds; six parties, five qualified, five round-1 offers, four best-and-final, sold</w:t>
      </w:r>
      <w:r>
        <w:t xml:space="preserve"> </w:t>
      </w:r>
      <w:r>
        <w:t xml:space="preserve">unconditional with a 4-week completion. TOGC, no VAT on the price. Fee invoice raised</w:t>
      </w:r>
      <w:r>
        <w:t xml:space="preserve"> </w:t>
      </w:r>
      <w:r>
        <w:t xml:space="preserve">separately. Thank you for the instruction. Adam Moore, Director.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2026-06-09T08:57:06Z</dcterms:created>
  <dcterms:modified xsi:type="dcterms:W3CDTF">2026-06-09T08:57:06Z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