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A5F"/>
          <w:sz w:val="44"/>
          <w:szCs w:val="44"/>
        </w:rPr>
        <w:t xml:space="preserve">Heads of terms</w:t>
      </w:r>
    </w:p>
    <w:p>
      <w:pPr>
        <w:pBdr>
          <w:bottom w:val="single" w:color="1F3A5F" w:sz="10" w:space="6"/>
        </w:pBdr>
        <w:spacing w:after="160"/>
      </w:pPr>
      <w:r>
        <w:rPr>
          <w:color w:val="444444"/>
          <w:sz w:val="24"/>
          <w:szCs w:val="24"/>
        </w:rPr>
        <w:t xml:space="preserve">Subject to contract. Not legally binding except where stated.</w:t>
      </w:r>
    </w:p>
    <w:p>
      <w:pPr>
        <w:spacing w:after="160"/>
      </w:pPr>
      <w:r>
        <w:rPr>
          <w:i/>
          <w:iCs/>
          <w:color w:val="555555"/>
          <w:sz w:val="20"/>
          <w:szCs w:val="20"/>
        </w:rPr>
        <w:t xml:space="preserve">EXAMPLE / PLACEHOLDER. This is a generic commercial property heads of terms for demonstration. It is not legal advice and must be reviewed and settled by the client's solicitor before issue. To use your own wording, drop your template into the deal's 04-legals/ folder and the plugin will use it instead.</w:t>
      </w:r>
    </w:p>
    <w:p>
      <w:pPr>
        <w:pStyle w:val="Heading2"/>
      </w:pPr>
      <w:r>
        <w:t xml:space="preserve">Summary of principal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Property</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[Property address]</w:t>
            </w:r>
          </w:p>
        </w:tc>
      </w:tr>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Tenure</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[Freehold / long leasehold]</w:t>
            </w:r>
          </w:p>
        </w:tc>
      </w:tr>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Title number</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[Title number]</w:t>
            </w:r>
          </w:p>
        </w:tc>
      </w:tr>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Seller</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[Seller legal name], of [address]</w:t>
            </w:r>
          </w:p>
        </w:tc>
      </w:tr>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Buyer</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[Buyer legal name / SPV], of [address]</w:t>
            </w:r>
          </w:p>
        </w:tc>
      </w:tr>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Transaction structure</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[an asset sale / a corporate (SPV share) sale]</w:t>
            </w:r>
          </w:p>
        </w:tc>
      </w:tr>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Purchase price</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GBP [amount] ([amount in words])</w:t>
            </w:r>
          </w:p>
        </w:tc>
      </w:tr>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Net initial yield</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[X.XX]%</w:t>
            </w:r>
          </w:p>
        </w:tc>
      </w:tr>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Deposit</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[10]%</w:t>
            </w:r>
          </w:p>
        </w:tc>
      </w:tr>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VAT</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[TOGC anticipated / VAT chargeable / not applicable]</w:t>
            </w:r>
          </w:p>
        </w:tc>
      </w:tr>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Exclusivity period</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[X] weeks</w:t>
            </w:r>
          </w:p>
        </w:tc>
      </w:tr>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Target exchange</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[target exchange date], being within [X] weeks of solicitors being instructed</w:t>
            </w:r>
          </w:p>
        </w:tc>
      </w:tr>
      <w:tr>
        <w:tc>
          <w:tcPr>
            <w:tcW w:type="dxa" w:w="3000"/>
            <w:tcBorders>
              <w:top w:val="single" w:color="BFBFBF" w:sz="1"/>
              <w:left w:val="single" w:color="BFBFBF" w:sz="1"/>
              <w:bottom w:val="single" w:color="BFBFBF" w:sz="1"/>
              <w:right w:val="single" w:color="BFBFBF" w:sz="1"/>
            </w:tcBorders>
            <w:shd w:fill="EEF2F6" w:val="clear"/>
            <w:tcMar>
              <w:top w:type="dxa" w:w="60"/>
              <w:left w:type="dxa" w:w="140"/>
              <w:bottom w:type="dxa" w:w="60"/>
              <w:right w:type="dxa" w:w="140"/>
            </w:tcMar>
          </w:tcPr>
          <w:p>
            <w:r>
              <w:rPr>
                <w:b/>
                <w:bCs/>
                <w:sz w:val="20"/>
                <w:szCs w:val="20"/>
              </w:rPr>
              <w:t xml:space="preserve">Target completion</w:t>
            </w:r>
          </w:p>
        </w:tc>
        <w:tc>
          <w:tcPr>
            <w:tcW w:type="dxa" w:w="6026"/>
            <w:tcBorders>
              <w:top w:val="single" w:color="BFBFBF" w:sz="1"/>
              <w:left w:val="single" w:color="BFBFBF" w:sz="1"/>
              <w:bottom w:val="single" w:color="BFBFBF" w:sz="1"/>
              <w:right w:val="single" w:color="BFBFBF" w:sz="1"/>
            </w:tcBorders>
            <w:tcMar>
              <w:top w:type="dxa" w:w="60"/>
              <w:left w:type="dxa" w:w="140"/>
              <w:bottom w:type="dxa" w:w="60"/>
              <w:right w:type="dxa" w:w="140"/>
            </w:tcMar>
          </w:tcPr>
          <w:p>
            <w:r>
              <w:rPr>
                <w:sz w:val="20"/>
                <w:szCs w:val="20"/>
              </w:rPr>
              <w:t xml:space="preserve">[on exchange / [X] weeks after exchange], target [target completion date]</w:t>
            </w:r>
          </w:p>
        </w:tc>
      </w:tr>
    </w:tbl>
    <w:p>
      <w:pPr>
        <w:spacing w:after="120" w:before="120"/>
      </w:pPr>
      <w:r>
        <w:rPr>
          <w:sz w:val="8"/>
          <w:szCs w:val="8"/>
        </w:rPr>
        <w:t xml:space="preserve"/>
      </w:r>
    </w:p>
    <w:p>
      <w:pPr>
        <w:pStyle w:val="Heading1"/>
      </w:pPr>
      <w:r>
        <w:t xml:space="preserve">1. Status of these heads of terms</w:t>
      </w:r>
    </w:p>
    <w:p>
      <w:pPr>
        <w:spacing w:after="120"/>
      </w:pPr>
      <w:r>
        <w:rPr>
          <w:sz w:val="21"/>
          <w:szCs w:val="21"/>
        </w:rPr>
        <w:t xml:space="preserve">These heads of terms record the principal commercial terms provisionally agreed for the proposed sale of the Property. They are issued subject to contract.</w:t>
      </w:r>
    </w:p>
    <w:p>
      <w:pPr>
        <w:spacing w:after="120"/>
      </w:pPr>
      <w:r>
        <w:rPr>
          <w:sz w:val="21"/>
          <w:szCs w:val="21"/>
        </w:rPr>
        <w:t xml:space="preserve">Save for the clauses headed Exclusivity, Costs and Confidentiality, which are intended to be legally binding, these heads of terms create no legally binding obligation on either party and are without prejudice. No contract will come into existence until written contracts have been exchanged by the parties' solicitors.</w:t>
      </w:r>
    </w:p>
    <w:p>
      <w:pPr>
        <w:pStyle w:val="Heading1"/>
      </w:pPr>
      <w:r>
        <w:t xml:space="preserve">2. The Property</w:t>
      </w:r>
    </w:p>
    <w:p>
      <w:pPr>
        <w:spacing w:after="120"/>
      </w:pPr>
      <w:r>
        <w:rPr>
          <w:sz w:val="21"/>
          <w:szCs w:val="21"/>
        </w:rPr>
        <w:t xml:space="preserve">The freehold or leasehold interest in [Property address] (the "Property"), being the property to be sold with the benefit of and subject to the matters set out below.</w:t>
      </w:r>
    </w:p>
    <w:p>
      <w:pPr>
        <w:pStyle w:val="Heading1"/>
      </w:pPr>
      <w:r>
        <w:t xml:space="preserve">3. Tenure and title</w:t>
      </w:r>
    </w:p>
    <w:p>
      <w:pPr>
        <w:spacing w:after="120"/>
      </w:pPr>
      <w:r>
        <w:rPr>
          <w:sz w:val="21"/>
          <w:szCs w:val="21"/>
        </w:rPr>
        <w:t xml:space="preserve">Tenure: [Freehold / long leasehold]. Registered at HM Land Registry under title number [Title number]. The Property is sold subject to and with the benefit of the matters contained or referred to in the registers of title and the occupational interests referred to below.</w:t>
      </w:r>
    </w:p>
    <w:p>
      <w:pPr>
        <w:pStyle w:val="Heading1"/>
      </w:pPr>
      <w:r>
        <w:t xml:space="preserve">4. The Seller</w:t>
      </w:r>
    </w:p>
    <w:p>
      <w:pPr>
        <w:spacing w:after="120"/>
      </w:pPr>
      <w:r>
        <w:rPr>
          <w:sz w:val="21"/>
          <w:szCs w:val="21"/>
        </w:rPr>
        <w:t xml:space="preserve">[Seller legal name], of [address]. Seller's solicitor: [Seller's solicitor, firm and contact].</w:t>
      </w:r>
    </w:p>
    <w:p>
      <w:pPr>
        <w:pStyle w:val="Heading1"/>
      </w:pPr>
      <w:r>
        <w:t xml:space="preserve">5. The Buyer</w:t>
      </w:r>
    </w:p>
    <w:p>
      <w:pPr>
        <w:spacing w:after="120"/>
      </w:pPr>
      <w:r>
        <w:rPr>
          <w:sz w:val="21"/>
          <w:szCs w:val="21"/>
        </w:rPr>
        <w:t xml:space="preserve">[Buyer legal name / SPV], of [address]. Beneficial owner / fund: [Beneficial owner / fund]. Buyer's solicitor: [Buyer's solicitor, firm and contact].</w:t>
      </w:r>
    </w:p>
    <w:p>
      <w:pPr>
        <w:pStyle w:val="Heading1"/>
      </w:pPr>
      <w:r>
        <w:t xml:space="preserve">6. Transaction structure</w:t>
      </w:r>
    </w:p>
    <w:p>
      <w:pPr>
        <w:spacing w:after="120"/>
      </w:pPr>
      <w:r>
        <w:rPr>
          <w:sz w:val="21"/>
          <w:szCs w:val="21"/>
        </w:rPr>
        <w:t xml:space="preserve">The transaction is to proceed as [an asset sale / a corporate (SPV share) sale].</w:t>
      </w:r>
    </w:p>
    <w:p>
      <w:pPr>
        <w:pStyle w:val="Heading1"/>
      </w:pPr>
      <w:r>
        <w:t xml:space="preserve">7. Purchase price</w:t>
      </w:r>
    </w:p>
    <w:p>
      <w:pPr>
        <w:spacing w:after="120"/>
      </w:pPr>
      <w:r>
        <w:rPr>
          <w:sz w:val="21"/>
          <w:szCs w:val="21"/>
        </w:rPr>
        <w:t xml:space="preserve">GBP [amount] ([amount in words]), reflecting a net initial yield of [X.XX]% on the passing rent after allowing for purchaser's costs, exclusive of VAT.</w:t>
      </w:r>
    </w:p>
    <w:p>
      <w:pPr>
        <w:pStyle w:val="Heading1"/>
      </w:pPr>
      <w:r>
        <w:t xml:space="preserve">8. Deposit</w:t>
      </w:r>
    </w:p>
    <w:p>
      <w:pPr>
        <w:spacing w:after="120"/>
      </w:pPr>
      <w:r>
        <w:rPr>
          <w:sz w:val="21"/>
          <w:szCs w:val="21"/>
        </w:rPr>
        <w:t xml:space="preserve">[10]% of the purchase price is payable on exchange of contracts, to be held by the seller's solicitor as stakeholder pending completion.</w:t>
      </w:r>
    </w:p>
    <w:p>
      <w:pPr>
        <w:pStyle w:val="Heading1"/>
      </w:pPr>
      <w:r>
        <w:t xml:space="preserve">9. VAT</w:t>
      </w:r>
    </w:p>
    <w:p>
      <w:pPr>
        <w:spacing w:after="120"/>
      </w:pPr>
      <w:r>
        <w:rPr>
          <w:sz w:val="21"/>
          <w:szCs w:val="21"/>
        </w:rPr>
        <w:t xml:space="preserve">VAT position: [TOGC anticipated / VAT chargeable / not applicable]. If the sale is treated as a transfer of a going concern, the parties will co-operate to satisfy the relevant conditions.</w:t>
      </w:r>
    </w:p>
    <w:p>
      <w:pPr>
        <w:pStyle w:val="Heading1"/>
      </w:pPr>
      <w:r>
        <w:t xml:space="preserve">10. Tenancies and occupational interests</w:t>
      </w:r>
    </w:p>
    <w:p>
      <w:pPr>
        <w:spacing w:after="120"/>
      </w:pPr>
      <w:r>
        <w:rPr>
          <w:sz w:val="21"/>
          <w:szCs w:val="21"/>
        </w:rPr>
        <w:t xml:space="preserve">The Property is sold subject to the existing occupational leases and tenancies. A tenancy schedule setting out the tenants, terms, passing rents, review and break dates and any arrears will be provided in the data room and forms part of the basis of the offer. [Summarise key lease terms: tenant, lease term, passing rent, review and break dates.]</w:t>
      </w:r>
    </w:p>
    <w:p>
      <w:pPr>
        <w:pStyle w:val="Heading1"/>
      </w:pPr>
      <w:r>
        <w:t xml:space="preserve">11. Conditions</w:t>
      </w:r>
    </w:p>
    <w:p>
      <w:pPr>
        <w:spacing w:after="120"/>
      </w:pPr>
      <w:r>
        <w:rPr>
          <w:sz w:val="21"/>
          <w:szCs w:val="21"/>
        </w:rPr>
        <w:t xml:space="preserve">The offer is [unconditional / conditional upon satisfactory title and CPSE replies, survey, planning, and board / investment committee approval by DATE]. The parties will proceed in good faith to satisfy any conditions as soon as reasonably practicable.</w:t>
      </w:r>
    </w:p>
    <w:p>
      <w:pPr>
        <w:pStyle w:val="Heading1"/>
      </w:pPr>
      <w:r>
        <w:t xml:space="preserve">12. Funding and proof of funds</w:t>
      </w:r>
    </w:p>
    <w:p>
      <w:pPr>
        <w:spacing w:after="120"/>
      </w:pPr>
      <w:r>
        <w:rPr>
          <w:sz w:val="21"/>
          <w:szCs w:val="21"/>
        </w:rPr>
        <w:t xml:space="preserve">The buyer confirms that funding is [all equity / debt-backed]. Evidence of funding and proof of available funds [has been provided / will be provided by DATE].</w:t>
      </w:r>
    </w:p>
    <w:p>
      <w:pPr>
        <w:pStyle w:val="Heading1"/>
      </w:pPr>
      <w:r>
        <w:t xml:space="preserve">13. Due diligence and data room</w:t>
      </w:r>
    </w:p>
    <w:p>
      <w:pPr>
        <w:spacing w:after="120"/>
      </w:pPr>
      <w:r>
        <w:rPr>
          <w:sz w:val="21"/>
          <w:szCs w:val="21"/>
        </w:rPr>
        <w:t xml:space="preserve">The seller will make available a data room containing title, tenancy, financial, planning, compliance and other diligence material. The buyer will be deemed to have had the opportunity to review the data room and to raise enquiries (CPSEs) through its solicitor prior to exchange.</w:t>
      </w:r>
    </w:p>
    <w:p>
      <w:pPr>
        <w:pStyle w:val="Heading1"/>
      </w:pPr>
      <w:r>
        <w:t xml:space="preserve">14. Timetable</w:t>
      </w:r>
    </w:p>
    <w:p>
      <w:pPr>
        <w:spacing w:after="120"/>
      </w:pPr>
      <w:r>
        <w:rPr>
          <w:sz w:val="21"/>
          <w:szCs w:val="21"/>
        </w:rPr>
        <w:t xml:space="preserve">The parties will work to the following timetable from the date solicitors are instructed:</w:t>
      </w:r>
    </w:p>
    <w:p>
      <w:pPr>
        <w:pStyle w:val="ListParagraph"/>
        <w:numPr>
          <w:ilvl w:val="0"/>
          <w:numId w:val="2"/>
        </w:numPr>
        <w:spacing w:after="60"/>
      </w:pPr>
      <w:r>
        <w:rPr>
          <w:sz w:val="21"/>
          <w:szCs w:val="21"/>
        </w:rPr>
        <w:t xml:space="preserve">Exchange of contracts: target [target exchange date], being within [X] weeks of solicitors being instructed.</w:t>
      </w:r>
    </w:p>
    <w:p>
      <w:pPr>
        <w:pStyle w:val="ListParagraph"/>
        <w:numPr>
          <w:ilvl w:val="0"/>
          <w:numId w:val="2"/>
        </w:numPr>
        <w:spacing w:after="60"/>
      </w:pPr>
      <w:r>
        <w:rPr>
          <w:sz w:val="21"/>
          <w:szCs w:val="21"/>
        </w:rPr>
        <w:t xml:space="preserve">Completion: target [on exchange / [X] weeks after exchange], target [target completion date].</w:t>
      </w:r>
    </w:p>
    <w:p>
      <w:pPr>
        <w:pStyle w:val="Heading1"/>
      </w:pPr>
      <w:r>
        <w:t xml:space="preserve">15. Exclusivity (binding)</w:t>
      </w:r>
    </w:p>
    <w:p>
      <w:pPr>
        <w:spacing w:after="120"/>
      </w:pPr>
      <w:r>
        <w:rPr>
          <w:sz w:val="21"/>
          <w:szCs w:val="21"/>
        </w:rPr>
        <w:t xml:space="preserve">The seller agrees to deal exclusively with the buyer for a period of [X] weeks from the date these heads of terms are agreed (the "Exclusivity Period"). During the Exclusivity Period the seller will not solicit, encourage or accept any competing offer in respect of the Property. This clause is intended to be legally binding.</w:t>
      </w:r>
    </w:p>
    <w:p>
      <w:pPr>
        <w:pStyle w:val="Heading1"/>
      </w:pPr>
      <w:r>
        <w:t xml:space="preserve">16. Costs (binding)</w:t>
      </w:r>
    </w:p>
    <w:p>
      <w:pPr>
        <w:spacing w:after="120"/>
      </w:pPr>
      <w:r>
        <w:rPr>
          <w:sz w:val="21"/>
          <w:szCs w:val="21"/>
        </w:rPr>
        <w:t xml:space="preserve">Each party will bear its own professional and other costs in connection with the proposed transaction, whether or not it proceeds. This clause is intended to be legally binding.</w:t>
      </w:r>
    </w:p>
    <w:p>
      <w:pPr>
        <w:pStyle w:val="Heading1"/>
      </w:pPr>
      <w:r>
        <w:t xml:space="preserve">17. Confidentiality (binding)</w:t>
      </w:r>
    </w:p>
    <w:p>
      <w:pPr>
        <w:spacing w:after="120"/>
      </w:pPr>
      <w:r>
        <w:rPr>
          <w:sz w:val="21"/>
          <w:szCs w:val="21"/>
        </w:rPr>
        <w:t xml:space="preserve">Each party will keep confidential the existence and terms of the proposed transaction and all information disclosed in connection with it, save as required by law or to its professional advisers. This clause is intended to be legally binding and is in addition to any confidentiality agreement already entered into.</w:t>
      </w:r>
    </w:p>
    <w:p>
      <w:pPr>
        <w:pStyle w:val="Heading1"/>
      </w:pPr>
      <w:r>
        <w:t xml:space="preserve">18. Anti-money laundering and KYC</w:t>
      </w:r>
    </w:p>
    <w:p>
      <w:pPr>
        <w:spacing w:after="120"/>
      </w:pPr>
      <w:r>
        <w:rPr>
          <w:sz w:val="21"/>
          <w:szCs w:val="21"/>
        </w:rPr>
        <w:t xml:space="preserve">Completion of the transaction is subject to the seller's and buyer's solicitors completing satisfactory anti-money laundering, identity and source of funds checks on the parties in accordance with applicable regulations.</w:t>
      </w:r>
    </w:p>
    <w:p>
      <w:pPr>
        <w:pStyle w:val="Heading1"/>
      </w:pPr>
      <w:r>
        <w:t xml:space="preserve">19. Apportionments</w:t>
      </w:r>
    </w:p>
    <w:p>
      <w:pPr>
        <w:spacing w:after="120"/>
      </w:pPr>
      <w:r>
        <w:rPr>
          <w:sz w:val="21"/>
          <w:szCs w:val="21"/>
        </w:rPr>
        <w:t xml:space="preserve">Rent, service charge and other outgoings will be apportioned between the parties on completion on the usual basis. Rent deposits and any guarantees or authorised guarantee agreements will be dealt with in the sale contract.</w:t>
      </w:r>
    </w:p>
    <w:p>
      <w:pPr>
        <w:pStyle w:val="Heading1"/>
      </w:pPr>
      <w:r>
        <w:t xml:space="preserve">20. Standard conditions of sale</w:t>
      </w:r>
    </w:p>
    <w:p>
      <w:pPr>
        <w:spacing w:after="120"/>
      </w:pPr>
      <w:r>
        <w:rPr>
          <w:sz w:val="21"/>
          <w:szCs w:val="21"/>
        </w:rPr>
        <w:t xml:space="preserve">The sale contract will incorporate the Standard Commercial Property Conditions (Third Edition) as amended by the seller's solicitor, save to the extent varied by the contract.</w:t>
      </w:r>
    </w:p>
    <w:p>
      <w:pPr>
        <w:pStyle w:val="Heading1"/>
      </w:pPr>
      <w:r>
        <w:t xml:space="preserve">21. Selling agent</w:t>
      </w:r>
    </w:p>
    <w:p>
      <w:pPr>
        <w:spacing w:after="120"/>
      </w:pPr>
      <w:r>
        <w:rPr>
          <w:sz w:val="21"/>
          <w:szCs w:val="21"/>
        </w:rPr>
        <w:t xml:space="preserve">The selling agent acting for the seller is [Agent name], [firm], [contact]. All enquiries and correspondence relating to the proposed transaction should be directed through the selling agent until solicitors are instructed.</w:t>
      </w:r>
    </w:p>
    <w:p>
      <w:pPr>
        <w:pStyle w:val="Heading1"/>
      </w:pPr>
      <w:r>
        <w:t xml:space="preserve">22. Governing law and jurisdiction</w:t>
      </w:r>
    </w:p>
    <w:p>
      <w:pPr>
        <w:spacing w:after="120"/>
      </w:pPr>
      <w:r>
        <w:rPr>
          <w:sz w:val="21"/>
          <w:szCs w:val="21"/>
        </w:rPr>
        <w:t xml:space="preserve">These heads of terms and any contract arising from them are governed by the laws of England and Wales, and the parties submit to the exclusive jurisdiction of the courts of England and Wales.</w:t>
      </w:r>
    </w:p>
    <w:p>
      <w:pPr>
        <w:pStyle w:val="Heading1"/>
      </w:pPr>
      <w:r>
        <w:t xml:space="preserve">23. Acknowledgement</w:t>
      </w:r>
    </w:p>
    <w:p>
      <w:pPr>
        <w:spacing w:after="160"/>
      </w:pPr>
      <w:r>
        <w:rPr>
          <w:sz w:val="21"/>
          <w:szCs w:val="21"/>
        </w:rPr>
        <w:t xml:space="preserve">Signed subject to contract by way of acknowledgement of the commercial terms set out above. This acknowledgement does not create a binding contract for the sale and purchase of the Property.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120"/>
              <w:left w:type="dxa" w:w="160"/>
              <w:bottom w:type="dxa" w:w="120"/>
              <w:right w:type="dxa" w:w="160"/>
            </w:tcMar>
          </w:tcPr>
          <w:p>
            <w:pPr>
              <w:spacing w:after="240"/>
            </w:pPr>
            <w:r>
              <w:rPr>
                <w:b/>
                <w:bCs/>
                <w:sz w:val="20"/>
                <w:szCs w:val="20"/>
              </w:rPr>
              <w:t xml:space="preserve">For and on behalf of the Seller</w:t>
            </w:r>
          </w:p>
          <w:p>
            <w:pPr>
              <w:spacing w:after="40"/>
            </w:pPr>
            <w:r>
              <w:rPr>
                <w:sz w:val="20"/>
                <w:szCs w:val="20"/>
              </w:rPr>
              <w:t xml:space="preserve">Signed: </w:t>
            </w:r>
            <w:r>
              <w:rPr>
                <w:sz w:val="20"/>
                <w:szCs w:val="20"/>
              </w:rPr>
              <w:t xml:space="preserve">............................................</w:t>
            </w:r>
          </w:p>
          <w:p>
            <w:pPr>
              <w:spacing w:after="40"/>
            </w:pPr>
            <w:r>
              <w:rPr>
                <w:sz w:val="20"/>
                <w:szCs w:val="20"/>
              </w:rPr>
              <w:t xml:space="preserve">Name: </w:t>
            </w:r>
            <w:r>
              <w:rPr>
                <w:sz w:val="20"/>
                <w:szCs w:val="20"/>
              </w:rPr>
              <w:t xml:space="preserve">[Seller legal name], of [address]</w:t>
            </w:r>
          </w:p>
          <w:p>
            <w:pPr>
              <w:spacing w:after="40"/>
            </w:pPr>
            <w:r>
              <w:rPr>
                <w:sz w:val="20"/>
                <w:szCs w:val="20"/>
              </w:rPr>
              <w:t xml:space="preserve">Position: </w:t>
            </w:r>
            <w:r>
              <w:rPr>
                <w:sz w:val="20"/>
                <w:szCs w:val="20"/>
              </w:rPr>
              <w:t xml:space="preserve">............................................</w:t>
            </w:r>
          </w:p>
          <w:p>
            <w:r>
              <w:rPr>
                <w:sz w:val="20"/>
                <w:szCs w:val="20"/>
              </w:rPr>
              <w:t xml:space="preserve">Date: </w:t>
            </w:r>
            <w:r>
              <w:rPr>
                <w:sz w:val="20"/>
                <w:szCs w:val="20"/>
              </w:rPr>
              <w:t xml:space="preserve">............................................</w:t>
            </w:r>
          </w:p>
        </w:tc>
        <w:tc>
          <w:tcPr>
            <w:tcW w:type="dxa" w:w="4513"/>
            <w:tcBorders>
              <w:top w:val="single" w:color="BFBFBF" w:sz="1"/>
              <w:left w:val="single" w:color="BFBFBF" w:sz="1"/>
              <w:bottom w:val="single" w:color="BFBFBF" w:sz="1"/>
              <w:right w:val="single" w:color="BFBFBF" w:sz="1"/>
            </w:tcBorders>
            <w:tcMar>
              <w:top w:type="dxa" w:w="120"/>
              <w:left w:type="dxa" w:w="160"/>
              <w:bottom w:type="dxa" w:w="120"/>
              <w:right w:type="dxa" w:w="160"/>
            </w:tcMar>
          </w:tcPr>
          <w:p>
            <w:pPr>
              <w:spacing w:after="240"/>
            </w:pPr>
            <w:r>
              <w:rPr>
                <w:b/>
                <w:bCs/>
                <w:sz w:val="20"/>
                <w:szCs w:val="20"/>
              </w:rPr>
              <w:t xml:space="preserve">For and on behalf of the Buyer</w:t>
            </w:r>
          </w:p>
          <w:p>
            <w:pPr>
              <w:spacing w:after="40"/>
            </w:pPr>
            <w:r>
              <w:rPr>
                <w:sz w:val="20"/>
                <w:szCs w:val="20"/>
              </w:rPr>
              <w:t xml:space="preserve">Signed: </w:t>
            </w:r>
            <w:r>
              <w:rPr>
                <w:sz w:val="20"/>
                <w:szCs w:val="20"/>
              </w:rPr>
              <w:t xml:space="preserve">............................................</w:t>
            </w:r>
          </w:p>
          <w:p>
            <w:pPr>
              <w:spacing w:after="40"/>
            </w:pPr>
            <w:r>
              <w:rPr>
                <w:sz w:val="20"/>
                <w:szCs w:val="20"/>
              </w:rPr>
              <w:t xml:space="preserve">Name: </w:t>
            </w:r>
            <w:r>
              <w:rPr>
                <w:sz w:val="20"/>
                <w:szCs w:val="20"/>
              </w:rPr>
              <w:t xml:space="preserve">[Buyer legal name / SPV], of [address]</w:t>
            </w:r>
          </w:p>
          <w:p>
            <w:pPr>
              <w:spacing w:after="40"/>
            </w:pPr>
            <w:r>
              <w:rPr>
                <w:sz w:val="20"/>
                <w:szCs w:val="20"/>
              </w:rPr>
              <w:t xml:space="preserve">Position: </w:t>
            </w:r>
            <w:r>
              <w:rPr>
                <w:sz w:val="20"/>
                <w:szCs w:val="20"/>
              </w:rPr>
              <w:t xml:space="preserve">............................................</w:t>
            </w:r>
          </w:p>
          <w:p>
            <w:r>
              <w:rPr>
                <w:sz w:val="20"/>
                <w:szCs w:val="20"/>
              </w:rPr>
              <w:t xml:space="preserve">Date: </w:t>
            </w:r>
            <w:r>
              <w:rPr>
                <w:sz w:val="20"/>
                <w:szCs w:val="20"/>
              </w:rPr>
              <w:t xml:space="preserve">............................................</w:t>
            </w:r>
          </w:p>
        </w:tc>
      </w:tr>
    </w:tbl>
    <w:sectPr>
      <w:headerReference w:type="default" r:id="rId7"/>
      <w:footerReference w:type="default" r:id="rId8"/>
      <w:pgSz w:w="11906" w:h="16838" w:orient="portrait"/>
      <w:pgMar w:top="1700" w:right="1440" w:bottom="15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center" w:pos="4513"/>
        <w:tab w:val="right" w:pos="9026"/>
      </w:tabs>
    </w:pPr>
    <w:r>
      <w:rPr>
        <w:color w:val="888888"/>
        <w:sz w:val="16"/>
        <w:szCs w:val="16"/>
      </w:rPr>
      <w:t xml:space="preserve">Private and confidential</w:t>
    </w:r>
    <w:r>
      <w:rPr>
        <w:color w:val="888888"/>
        <w:sz w:val="16"/>
        <w:szCs w:val="16"/>
      </w:rPr>
      <w:t xml:space="preserve">	Subject to contract</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tabs>
        <w:tab w:val="right" w:pos="9026"/>
      </w:tabs>
    </w:pPr>
    <w:r>
      <w:rPr>
        <w:b/>
        <w:bCs/>
        <w:color w:val="1F3A5F"/>
        <w:sz w:val="18"/>
        <w:szCs w:val="18"/>
      </w:rPr>
      <w:t xml:space="preserve">[Property]</w:t>
    </w:r>
    <w:r>
      <w:rPr>
        <w:color w:val="666666"/>
        <w:sz w:val="18"/>
        <w:szCs w:val="18"/>
      </w:rPr>
      <w:t xml:space="preserve">	Heads of terms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40"/>
      <w:outlineLvl w:val="0"/>
    </w:pPr>
    <w:rPr>
      <w:rFonts w:ascii="Calibri" w:cs="Calibri" w:eastAsia="Calibri" w:hAnsi="Calibri"/>
      <w:b/>
      <w:bCs/>
      <w:color w:val="1F3A5F"/>
      <w:sz w:val="24"/>
      <w:szCs w:val="24"/>
    </w:rPr>
  </w:style>
  <w:style w:type="paragraph" w:styleId="Heading2">
    <w:name w:val="Heading 2"/>
    <w:basedOn w:val="Normal"/>
    <w:next w:val="Normal"/>
    <w:qFormat/>
    <w:pPr>
      <w:keepNext/>
      <w:spacing w:after="80" w:before="160"/>
      <w:outlineLvl w:val="1"/>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2026-06-09T17:17:01.563Z</dcterms:created>
  <dcterms:modified xsi:type="dcterms:W3CDTF">2026-06-09T17:17:01.564Z</dcterms:modified>
</cp:coreProperties>
</file>

<file path=docProps/custom.xml><?xml version="1.0" encoding="utf-8"?>
<Properties xmlns="http://schemas.openxmlformats.org/officeDocument/2006/custom-properties" xmlns:vt="http://schemas.openxmlformats.org/officeDocument/2006/docPropsVTypes"/>
</file>