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120" w:before="120"/>
      </w:pPr>
      <w:r>
        <w:rPr>
          <w:b/>
          <w:bCs/>
          <w:color w:val="007840"/>
          <w:spacing w:val="30"/>
          <w:sz w:val="18"/>
          <w:szCs w:val="18"/>
        </w:rPr>
        <w:t xml:space="preserve">POLÍTICA CORPORATIVA</w:t>
      </w:r>
    </w:p>
    <w:p>
      <w:pPr>
        <w:spacing w:after="360" w:line="280"/>
      </w:pPr>
      <w:r>
        <w:rPr>
          <w:b/>
          <w:bCs/>
          <w:color w:val="1F4033"/>
          <w:sz w:val="32"/>
          <w:szCs w:val="32"/>
        </w:rPr>
        <w:t xml:space="preserve">Política de Uso de Inteligência Artificial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5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257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Vigência</w:t>
            </w:r>
          </w:p>
        </w:tc>
        <w:tc>
          <w:tcPr>
            <w:tcW w:type="dxa" w:w="2257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225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POL-TI-001</w:t>
            </w:r>
          </w:p>
        </w:tc>
        <w:tc>
          <w:tcPr>
            <w:tcW w:type="dxa" w:w="225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1.0</w:t>
            </w:r>
          </w:p>
        </w:tc>
        <w:tc>
          <w:tcPr>
            <w:tcW w:type="dxa" w:w="2257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Julho/2026</w:t>
            </w:r>
          </w:p>
        </w:tc>
        <w:tc>
          <w:tcPr>
            <w:tcW w:type="dxa" w:w="2257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Uso Interno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033"/>
        </w:rPr>
        <w:t xml:space="preserve">1. Objetivo</w:t>
      </w:r>
    </w:p>
    <w:p>
      <w:pPr>
        <w:spacing w:after="180" w:line="300"/>
        <w:jc w:val="both"/>
      </w:pPr>
      <w:r>
        <w:t xml:space="preserve">Esta Política estabelece as diretrizes, responsabilidades e limites para o uso de ferramentas de Inteligência Artificial (IA) por colaboradores, estagiários, aprendizes e prestadores de serviço da Arcom S/A, com o objetivo de viabilizar ganhos de produtividade com segurança, protegendo as informações da empresa, os dados pessoais de clientes, fornecedores e colaboradores, e a conformidade com a legislação vigente, em especial a Lei Geral de Proteção de Dados (Lei nº 13.709/2018 — LGPD).</w:t>
      </w:r>
    </w:p>
    <w:p>
      <w:pPr>
        <w:pStyle w:val="Heading1"/>
      </w:pPr>
      <w:r>
        <w:rPr>
          <w:color w:val="1F4033"/>
        </w:rPr>
        <w:t xml:space="preserve">2. Abrangência</w:t>
      </w:r>
    </w:p>
    <w:p>
      <w:pPr>
        <w:spacing w:after="180" w:line="300"/>
        <w:jc w:val="both"/>
      </w:pPr>
      <w:r>
        <w:t xml:space="preserve">Aplica-se a todos os colaboradores, em qualquer nível hierárquico, e a terceiros que atuem em nome da Arcom S/A, em qualquer unidade, incluindo trabalho remoto, sempre que houver uso de ferramentas de IA em atividades profissionais ou com dados, sistemas e equipamentos da empresa.</w:t>
      </w:r>
    </w:p>
    <w:p>
      <w:pPr>
        <w:pStyle w:val="Heading1"/>
      </w:pPr>
      <w:r>
        <w:rPr>
          <w:color w:val="1F4033"/>
        </w:rPr>
        <w:t xml:space="preserve">3. Definições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8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Inteligência Artificial (IA)</w:t>
            </w:r>
          </w:p>
        </w:tc>
        <w:tc>
          <w:tcPr>
            <w:tcW w:type="dxa" w:w="68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Sistemas computacionais capazes de gerar conteúdo, previsões, recomendações ou decisões a partir de dados, incluindo IA generativa (ex.: assistentes de texto, imagem e código).</w:t>
            </w:r>
          </w:p>
        </w:tc>
      </w:tr>
      <w:tr>
        <w:tc>
          <w:tcPr>
            <w:tcW w:type="dxa" w:w="22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IA generativa</w:t>
            </w:r>
          </w:p>
        </w:tc>
        <w:tc>
          <w:tcPr>
            <w:tcW w:type="dxa" w:w="68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Ferramentas que produzem texto, imagem, áudio, vídeo ou código a partir de comandos (prompts) do usuário.</w:t>
            </w:r>
          </w:p>
        </w:tc>
      </w:tr>
      <w:tr>
        <w:tc>
          <w:tcPr>
            <w:tcW w:type="dxa" w:w="22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Ferramenta aprovada</w:t>
            </w:r>
          </w:p>
        </w:tc>
        <w:tc>
          <w:tcPr>
            <w:tcW w:type="dxa" w:w="68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Ferramenta de IA contratada ou homologada pela Diretoria de Tecnologia da Arcom S/A, constante da lista oficial de ferramentas aprovadas.</w:t>
            </w:r>
          </w:p>
        </w:tc>
      </w:tr>
      <w:tr>
        <w:tc>
          <w:tcPr>
            <w:tcW w:type="dxa" w:w="22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Dado pessoal</w:t>
            </w:r>
          </w:p>
        </w:tc>
        <w:tc>
          <w:tcPr>
            <w:tcW w:type="dxa" w:w="68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Informação relacionada a pessoa natural identificada ou identificável, nos termos da LGPD.</w:t>
            </w:r>
          </w:p>
        </w:tc>
      </w:tr>
      <w:tr>
        <w:tc>
          <w:tcPr>
            <w:tcW w:type="dxa" w:w="22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Dado pessoal sensível</w:t>
            </w:r>
          </w:p>
        </w:tc>
        <w:tc>
          <w:tcPr>
            <w:tcW w:type="dxa" w:w="68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Dado sobre origem racial ou étnica, convicção religiosa, opinião política, saúde, vida sexual, dado genético ou biométrico, nos termos da LGPD.</w:t>
            </w:r>
          </w:p>
        </w:tc>
      </w:tr>
      <w:tr>
        <w:tc>
          <w:tcPr>
            <w:tcW w:type="dxa" w:w="22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Informação confidencial</w:t>
            </w:r>
          </w:p>
        </w:tc>
        <w:tc>
          <w:tcPr>
            <w:tcW w:type="dxa" w:w="68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Informação não pública da Arcom S/A ou de seus parceiros, como dados comerciais, financeiros, estratégicos, contratuais ou de precificação.</w:t>
            </w:r>
          </w:p>
        </w:tc>
      </w:tr>
    </w:tbl>
    <w:p>
      <w:pPr>
        <w:pStyle w:val="Heading1"/>
      </w:pPr>
      <w:r>
        <w:rPr>
          <w:color w:val="1F4033"/>
        </w:rPr>
        <w:t xml:space="preserve">4. Princípios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  <w:color w:val="1F4033"/>
        </w:rPr>
        <w:t xml:space="preserve">Ferramenta aprovada, sempre. </w:t>
      </w:r>
      <w:r>
        <w:t xml:space="preserve">Somente ferramentas homologadas pela Tecnologia podem ser usadas em atividades da empresa.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  <w:color w:val="1F4033"/>
        </w:rPr>
        <w:t xml:space="preserve">Responsabilidade humana. </w:t>
      </w:r>
      <w:r>
        <w:t xml:space="preserve">A IA apoia o trabalho, mas a responsabilidade pelo resultado é sempre do colaborador que o utiliza.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  <w:color w:val="1F4033"/>
        </w:rPr>
        <w:t xml:space="preserve">Proteção de dados. </w:t>
      </w:r>
      <w:r>
        <w:t xml:space="preserve">Dados pessoais e informações confidenciais não devem ser inseridos em ferramentas de IA fora das condições autorizadas nesta Política.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  <w:color w:val="1F4033"/>
        </w:rPr>
        <w:t xml:space="preserve">Transparência. </w:t>
      </w:r>
      <w:r>
        <w:t xml:space="preserve">O uso relevante de IA em entregas deve ser informado quando solicitado pelo gestor ou quando o contexto exigir.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  <w:color w:val="1F4033"/>
        </w:rPr>
        <w:t xml:space="preserve">Verificação. </w:t>
      </w:r>
      <w:r>
        <w:t xml:space="preserve">Todo conteúdo gerado por IA deve ser revisado e validado antes de ser utilizado, pois pode conter erros, vieses ou informações inventadas (alucinações).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  <w:color w:val="1F4033"/>
        </w:rPr>
        <w:t xml:space="preserve">Legalidade e ética. </w:t>
      </w:r>
      <w:r>
        <w:t xml:space="preserve">O uso de IA deve respeitar a legislação, os contratos firmados pela empresa e o Código de Conduta da Arcom S/A.</w:t>
      </w:r>
    </w:p>
    <w:p>
      <w:pPr>
        <w:pStyle w:val="Heading1"/>
      </w:pPr>
      <w:r>
        <w:rPr>
          <w:color w:val="1F4033"/>
        </w:rPr>
        <w:t xml:space="preserve">5. Ferramentas aprovadas e processo de homologação</w:t>
      </w:r>
    </w:p>
    <w:p>
      <w:pPr>
        <w:spacing w:after="180" w:line="300"/>
        <w:jc w:val="both"/>
      </w:pPr>
      <w:r>
        <w:t xml:space="preserve">5.1. A Diretoria de Tecnologia manterá e divulgará a lista oficial de ferramentas de IA aprovadas, com o respectivo escopo de uso permitido (ex.: contas corporativas com garantias contratuais de que os dados não são usados para treinamento de modelos).</w:t>
      </w:r>
    </w:p>
    <w:p>
      <w:pPr>
        <w:spacing w:after="180" w:line="300"/>
        <w:jc w:val="both"/>
      </w:pPr>
      <w:r>
        <w:t xml:space="preserve">5.2. É vedado o uso de contas pessoais ou versões gratuitas de ferramentas de IA para tratar qualquer informação da empresa, ainda que a ferramenta conste da lista aprovada em sua versão corporativa.</w:t>
      </w:r>
    </w:p>
    <w:p>
      <w:pPr>
        <w:spacing w:after="180" w:line="300"/>
        <w:jc w:val="both"/>
      </w:pPr>
      <w:r>
        <w:t xml:space="preserve">5.3. A solicitação de homologação de novas ferramentas deve ser encaminhada à Tecnologia, que avaliará, no mínimo: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t xml:space="preserve">Segurança da informação (criptografia, controle de acesso, certificações);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t xml:space="preserve">Tratamento de dados pelo fornecedor (uso para treinamento, retenção, localização dos servidores, conformidade com a LGPD);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t xml:space="preserve">Termos contratuais, propriedade intelectual e confidencialidade;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t xml:space="preserve">Adequação ao caso de uso e custo-benefício.</w:t>
      </w:r>
    </w:p>
    <w:p>
      <w:pPr>
        <w:spacing w:after="180" w:line="300"/>
        <w:jc w:val="both"/>
      </w:pPr>
      <w:r>
        <w:t xml:space="preserve">5.4. Ferramentas não homologadas são consideradas não autorizadas (“shadow AI”) e seu uso configura violação desta Política.</w:t>
      </w:r>
    </w:p>
    <w:p>
      <w:pPr>
        <w:pStyle w:val="Heading1"/>
      </w:pPr>
      <w:r>
        <w:rPr>
          <w:color w:val="1F4033"/>
        </w:rPr>
        <w:t xml:space="preserve">6. Usos permitidos</w:t>
      </w:r>
    </w:p>
    <w:p>
      <w:pPr>
        <w:spacing w:after="180" w:line="300"/>
        <w:jc w:val="both"/>
      </w:pPr>
      <w:r>
        <w:t xml:space="preserve">Com ferramentas aprovadas e observados os limites de dados da Seção 8, é permitido, entre outros: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t xml:space="preserve">Apoio à redação, revisão e tradução de textos, e-mails, comunicados e documentos internos;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t xml:space="preserve">Resumo e análise de documentos e informações não confidenciais ou devidamente anonimizadas;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t xml:space="preserve">Brainstorming, pesquisa e estruturação de ideias, apresentações e materiais de trabalho;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t xml:space="preserve">Apoio ao desenvolvimento, revisão e documentação de código, observadas as regras de propriedade intelectual e segurança;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t xml:space="preserve">Automação de tarefas repetitivas aprovadas pela liderança e pela Tecnologia.</w:t>
      </w:r>
    </w:p>
    <w:p>
      <w:pPr>
        <w:pStyle w:val="Heading1"/>
      </w:pPr>
      <w:r>
        <w:rPr>
          <w:color w:val="1F4033"/>
        </w:rPr>
        <w:t xml:space="preserve">7. Usos proibidos</w:t>
      </w:r>
    </w:p>
    <w:p>
      <w:pPr>
        <w:spacing w:after="180" w:line="300"/>
        <w:jc w:val="both"/>
      </w:pPr>
      <w:r>
        <w:t xml:space="preserve">É expressamente proibido: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t xml:space="preserve">Inserir em ferramentas de IA dados pessoais de clientes, fornecedores ou colaboradores (CPF, endereço, telefone, dados financeiros, dados de saúde etc.) fora das hipóteses formalmente autorizadas;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t xml:space="preserve">Inserir informações confidenciais ou estratégicas: preços, margens, condições comerciais, contratos, dados financeiros não públicos, senhas, chaves de acesso e código-fonte proprietário classificado como restrito;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t xml:space="preserve">Usar IA para decisões automatizadas com efeito relevante sobre pessoas (ex.: contratação, demissão, crédito a clientes) sem revisão humana e aprovação formal das áreas competentes;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t xml:space="preserve">Apresentar conteúdo gerado por IA como análise ou parecer definitivo sem revisão e validação humana;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t xml:space="preserve">Gerar conteúdo ilegal, discriminatório, difamatório, ou que viole direitos autorais, marcas ou segredos de negócio de terceiros;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t xml:space="preserve">Criar deepfakes ou conteúdo que se passe por pessoas reais, e usar IA para fins particulares com recursos da empresa;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t xml:space="preserve">Contornar controles de segurança da empresa para acessar ferramentas não homologadas.</w:t>
      </w:r>
    </w:p>
    <w:p>
      <w:pPr>
        <w:pStyle w:val="Heading1"/>
      </w:pPr>
      <w:r>
        <w:rPr>
          <w:color w:val="1F4033"/>
        </w:rPr>
        <w:t xml:space="preserve">8. Proteção de dados pessoais (LGPD)</w:t>
      </w:r>
    </w:p>
    <w:p>
      <w:pPr>
        <w:spacing w:after="180" w:line="300"/>
        <w:jc w:val="both"/>
      </w:pPr>
      <w:r>
        <w:t xml:space="preserve">8.1. O uso de IA na Arcom S/A deve observar integralmente a LGPD e as orientações da Autoridade Nacional de Proteção de Dados (ANPD).</w:t>
      </w:r>
    </w:p>
    <w:p>
      <w:pPr>
        <w:spacing w:after="180" w:line="300"/>
        <w:jc w:val="both"/>
      </w:pPr>
      <w:r>
        <w:t xml:space="preserve">8.2. Classificação da informação e uso em 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3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W w:type="dxa" w:w="33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em IA</w:t>
            </w:r>
          </w:p>
        </w:tc>
      </w:tr>
      <w:tr>
        <w:tc>
          <w:tcPr>
            <w:tcW w:type="dxa" w:w="24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Pública</w:t>
            </w:r>
          </w:p>
        </w:tc>
        <w:tc>
          <w:tcPr>
            <w:tcW w:type="dxa" w:w="33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Materiais de marketing publicados, catálogo público</w:t>
            </w:r>
          </w:p>
        </w:tc>
        <w:tc>
          <w:tcPr>
            <w:tcW w:type="dxa" w:w="33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Permitido em ferramentas aprovadas</w:t>
            </w:r>
          </w:p>
        </w:tc>
      </w:tr>
      <w:tr>
        <w:tc>
          <w:tcPr>
            <w:tcW w:type="dxa" w:w="24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Interna</w:t>
            </w:r>
          </w:p>
        </w:tc>
        <w:tc>
          <w:tcPr>
            <w:tcW w:type="dxa" w:w="33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Comunicados, procedimentos, documentos de trabalho sem dados pessoais</w:t>
            </w:r>
          </w:p>
        </w:tc>
        <w:tc>
          <w:tcPr>
            <w:tcW w:type="dxa" w:w="33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Permitido apenas em ferramentas aprovadas corporativas</w:t>
            </w:r>
          </w:p>
        </w:tc>
      </w:tr>
      <w:tr>
        <w:tc>
          <w:tcPr>
            <w:tcW w:type="dxa" w:w="24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Confidencial</w:t>
            </w:r>
          </w:p>
        </w:tc>
        <w:tc>
          <w:tcPr>
            <w:tcW w:type="dxa" w:w="33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Dados comerciais, financeiros, contratos, dados pessoais</w:t>
            </w:r>
          </w:p>
        </w:tc>
        <w:tc>
          <w:tcPr>
            <w:tcW w:type="dxa" w:w="33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Proibido, salvo autorização formal da Tecnologia e do Encarregado (DPO)</w:t>
            </w:r>
          </w:p>
        </w:tc>
      </w:tr>
      <w:tr>
        <w:tc>
          <w:tcPr>
            <w:tcW w:type="dxa" w:w="24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Restrita</w:t>
            </w:r>
          </w:p>
        </w:tc>
        <w:tc>
          <w:tcPr>
            <w:tcW w:type="dxa" w:w="33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Senhas, chaves, dados sensíveis, informações estratégicas</w:t>
            </w:r>
          </w:p>
        </w:tc>
        <w:tc>
          <w:tcPr>
            <w:tcW w:type="dxa" w:w="33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Proibido em qualquer hipótese</w:t>
            </w:r>
          </w:p>
        </w:tc>
      </w:tr>
    </w:tbl>
    <w:p>
      <w:pPr>
        <w:spacing w:after="180" w:line="300"/>
        <w:jc w:val="both"/>
      </w:pPr>
      <w:r>
        <w:t xml:space="preserve"/>
      </w:r>
    </w:p>
    <w:p>
      <w:pPr>
        <w:spacing w:after="180" w:line="300"/>
        <w:jc w:val="both"/>
      </w:pPr>
      <w:r>
        <w:t xml:space="preserve">8.3. Regras específicas: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t xml:space="preserve">Antes de inserir qualquer conteúdo em IA, o colaborador deve remover ou anonimizar dados pessoais (nomes, documentos, contatos, dados financeiros);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t xml:space="preserve">Novos casos de uso de IA que envolvam tratamento de dados pessoais devem ser avaliados previamente pelo Encarregado de Dados (DPO), com registro e, quando necessário, Relatório de Impacto à Proteção de Dados (RIPD);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t xml:space="preserve">Incidentes envolvendo dados pessoais e IA (ex.: inserção indevida de dados de clientes em ferramenta externa) devem ser comunicados imediatamente à Tecnologia e ao Encarregado, para avaliação de comunicação à ANPD e aos titulares;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t xml:space="preserve">Titulares de dados têm direito à transparência sobre decisões apoiadas por IA que os afetem, nos termos da LGPD.</w:t>
      </w:r>
    </w:p>
    <w:p>
      <w:pPr>
        <w:pStyle w:val="Heading1"/>
      </w:pPr>
      <w:r>
        <w:rPr>
          <w:color w:val="1F4033"/>
        </w:rPr>
        <w:t xml:space="preserve">9. Segurança da informação</w:t>
      </w:r>
    </w:p>
    <w:p>
      <w:pPr>
        <w:pStyle w:val="ListParagraph"/>
        <w:numPr>
          <w:ilvl w:val="0"/>
          <w:numId w:val="7"/>
        </w:numPr>
        <w:spacing w:after="120" w:line="300"/>
        <w:jc w:val="both"/>
      </w:pPr>
      <w:r>
        <w:t xml:space="preserve">O acesso às ferramentas aprovadas deve usar credenciais corporativas, com autenticação multifator quando disponível;</w:t>
      </w:r>
    </w:p>
    <w:p>
      <w:pPr>
        <w:pStyle w:val="ListParagraph"/>
        <w:numPr>
          <w:ilvl w:val="0"/>
          <w:numId w:val="7"/>
        </w:numPr>
        <w:spacing w:after="120" w:line="300"/>
        <w:jc w:val="both"/>
      </w:pPr>
      <w:r>
        <w:t xml:space="preserve">É proibido compartilhar credenciais de acesso às ferramentas de IA;</w:t>
      </w:r>
    </w:p>
    <w:p>
      <w:pPr>
        <w:pStyle w:val="ListParagraph"/>
        <w:numPr>
          <w:ilvl w:val="0"/>
          <w:numId w:val="7"/>
        </w:numPr>
        <w:spacing w:after="120" w:line="300"/>
        <w:jc w:val="both"/>
      </w:pPr>
      <w:r>
        <w:t xml:space="preserve">Integrações de IA com sistemas internos (ERP, WMS, CRM etc.) devem ser aprovadas e implementadas exclusivamente pela Tecnologia;</w:t>
      </w:r>
    </w:p>
    <w:p>
      <w:pPr>
        <w:pStyle w:val="ListParagraph"/>
        <w:numPr>
          <w:ilvl w:val="0"/>
          <w:numId w:val="7"/>
        </w:numPr>
        <w:spacing w:after="120" w:line="300"/>
        <w:jc w:val="both"/>
      </w:pPr>
      <w:r>
        <w:t xml:space="preserve">Suspeitas de vazamento, phishing gerado por IA ou comportamento anômalo devem ser reportadas imediatamente à Tecnologia.</w:t>
      </w:r>
    </w:p>
    <w:p>
      <w:pPr>
        <w:pStyle w:val="Heading1"/>
      </w:pPr>
      <w:r>
        <w:rPr>
          <w:color w:val="1F4033"/>
        </w:rPr>
        <w:t xml:space="preserve">10. Propriedade intelectual</w:t>
      </w:r>
    </w:p>
    <w:p>
      <w:pPr>
        <w:pStyle w:val="ListParagraph"/>
        <w:numPr>
          <w:ilvl w:val="0"/>
          <w:numId w:val="8"/>
        </w:numPr>
        <w:spacing w:after="120" w:line="300"/>
        <w:jc w:val="both"/>
      </w:pPr>
      <w:r>
        <w:t xml:space="preserve">Conteúdos produzidos com apoio de IA no exercício da função pertencem à Arcom S/A, nos termos da legislação e dos contratos de trabalho;</w:t>
      </w:r>
    </w:p>
    <w:p>
      <w:pPr>
        <w:pStyle w:val="ListParagraph"/>
        <w:numPr>
          <w:ilvl w:val="0"/>
          <w:numId w:val="8"/>
        </w:numPr>
        <w:spacing w:after="120" w:line="300"/>
        <w:jc w:val="both"/>
      </w:pPr>
      <w:r>
        <w:t xml:space="preserve">O colaborador deve verificar se o conteúdo gerado não reproduz indevidamente material protegido de terceiros antes de utilizá-lo, especialmente em materiais públicos e código;</w:t>
      </w:r>
    </w:p>
    <w:p>
      <w:pPr>
        <w:pStyle w:val="ListParagraph"/>
        <w:numPr>
          <w:ilvl w:val="0"/>
          <w:numId w:val="8"/>
        </w:numPr>
        <w:spacing w:after="120" w:line="300"/>
        <w:jc w:val="both"/>
      </w:pPr>
      <w:r>
        <w:t xml:space="preserve">É vedado registrar ou publicar externamente conteúdo gerado por IA em nome da empresa sem aprovação da área responsável.</w:t>
      </w:r>
    </w:p>
    <w:p>
      <w:pPr>
        <w:pStyle w:val="Heading1"/>
      </w:pPr>
      <w:r>
        <w:rPr>
          <w:color w:val="1F4033"/>
        </w:rPr>
        <w:t xml:space="preserve">11. Responsabilidade e revisão humana</w:t>
      </w:r>
    </w:p>
    <w:p>
      <w:pPr>
        <w:pStyle w:val="ListParagraph"/>
        <w:numPr>
          <w:ilvl w:val="0"/>
          <w:numId w:val="9"/>
        </w:numPr>
        <w:spacing w:after="120" w:line="300"/>
        <w:jc w:val="both"/>
      </w:pPr>
      <w:r>
        <w:t xml:space="preserve">O colaborador é integralmente responsável pelo conteúdo que produz, ainda que gerado com apoio de IA;</w:t>
      </w:r>
    </w:p>
    <w:p>
      <w:pPr>
        <w:pStyle w:val="ListParagraph"/>
        <w:numPr>
          <w:ilvl w:val="0"/>
          <w:numId w:val="9"/>
        </w:numPr>
        <w:spacing w:after="120" w:line="300"/>
        <w:jc w:val="both"/>
      </w:pPr>
      <w:r>
        <w:t xml:space="preserve">Resultados de IA devem ser tratados como rascunho ou apoio: verificar fatos, números, referências legais e cálculos antes de usar;</w:t>
      </w:r>
    </w:p>
    <w:p>
      <w:pPr>
        <w:pStyle w:val="ListParagraph"/>
        <w:numPr>
          <w:ilvl w:val="0"/>
          <w:numId w:val="9"/>
        </w:numPr>
        <w:spacing w:after="120" w:line="300"/>
        <w:jc w:val="both"/>
      </w:pPr>
      <w:r>
        <w:t xml:space="preserve">Decisões que afetem pessoas, contratos, preços ou obrigações legais exigem revisão e aprovação humana documentada.</w:t>
      </w:r>
    </w:p>
    <w:p>
      <w:pPr>
        <w:pStyle w:val="Heading1"/>
      </w:pPr>
      <w:r>
        <w:rPr>
          <w:color w:val="1F4033"/>
        </w:rPr>
        <w:t xml:space="preserve">12. Governança</w:t>
      </w:r>
    </w:p>
    <w:p>
      <w:pPr>
        <w:pStyle w:val="ListParagraph"/>
        <w:numPr>
          <w:ilvl w:val="0"/>
          <w:numId w:val="10"/>
        </w:numPr>
        <w:spacing w:after="120" w:line="300"/>
        <w:jc w:val="both"/>
      </w:pPr>
      <w:r>
        <w:rPr>
          <w:b/>
          <w:bCs/>
          <w:color w:val="1F4033"/>
        </w:rPr>
        <w:t xml:space="preserve">Diretoria de Tecnologia: </w:t>
      </w:r>
      <w:r>
        <w:t xml:space="preserve">homologa ferramentas, mantém a lista aprovada, define controles técnicos e monitora o uso;</w:t>
      </w:r>
    </w:p>
    <w:p>
      <w:pPr>
        <w:pStyle w:val="ListParagraph"/>
        <w:numPr>
          <w:ilvl w:val="0"/>
          <w:numId w:val="10"/>
        </w:numPr>
        <w:spacing w:after="120" w:line="300"/>
        <w:jc w:val="both"/>
      </w:pPr>
      <w:r>
        <w:rPr>
          <w:b/>
          <w:bCs/>
          <w:color w:val="1F4033"/>
        </w:rPr>
        <w:t xml:space="preserve">Encarregado de Dados (DPO): </w:t>
      </w:r>
      <w:r>
        <w:t xml:space="preserve">avalia casos de uso com dados pessoais e a conformidade com a LGPD;</w:t>
      </w:r>
    </w:p>
    <w:p>
      <w:pPr>
        <w:pStyle w:val="ListParagraph"/>
        <w:numPr>
          <w:ilvl w:val="0"/>
          <w:numId w:val="10"/>
        </w:numPr>
        <w:spacing w:after="120" w:line="300"/>
        <w:jc w:val="both"/>
      </w:pPr>
      <w:r>
        <w:rPr>
          <w:b/>
          <w:bCs/>
          <w:color w:val="1F4033"/>
        </w:rPr>
        <w:t xml:space="preserve">Comitê de IA (Tecnologia, Jurídico/Compliance, RH e áreas de negócio): </w:t>
      </w:r>
      <w:r>
        <w:t xml:space="preserve">revisa esta Política, aprova casos de uso de maior risco e acompanha a evolução regulatória (incluindo o PL 2338/2023 — marco legal da IA, em tramitação);</w:t>
      </w:r>
    </w:p>
    <w:p>
      <w:pPr>
        <w:pStyle w:val="ListParagraph"/>
        <w:numPr>
          <w:ilvl w:val="0"/>
          <w:numId w:val="10"/>
        </w:numPr>
        <w:spacing w:after="120" w:line="300"/>
        <w:jc w:val="both"/>
      </w:pPr>
      <w:r>
        <w:rPr>
          <w:b/>
          <w:bCs/>
          <w:color w:val="1F4033"/>
        </w:rPr>
        <w:t xml:space="preserve">Gestores: </w:t>
      </w:r>
      <w:r>
        <w:t xml:space="preserve">orientam suas equipes e asseguram o cumprimento desta Política;</w:t>
      </w:r>
    </w:p>
    <w:p>
      <w:pPr>
        <w:pStyle w:val="ListParagraph"/>
        <w:numPr>
          <w:ilvl w:val="0"/>
          <w:numId w:val="10"/>
        </w:numPr>
        <w:spacing w:after="120" w:line="300"/>
        <w:jc w:val="both"/>
      </w:pPr>
      <w:r>
        <w:rPr>
          <w:b/>
          <w:bCs/>
          <w:color w:val="1F4033"/>
        </w:rPr>
        <w:t xml:space="preserve">Colaboradores: </w:t>
      </w:r>
      <w:r>
        <w:t xml:space="preserve">cumprem esta Política e assinam o Termo de Uso e Responsabilidade antes de receber acesso.</w:t>
      </w:r>
    </w:p>
    <w:p>
      <w:pPr>
        <w:pStyle w:val="Heading1"/>
      </w:pPr>
      <w:r>
        <w:rPr>
          <w:color w:val="1F4033"/>
        </w:rPr>
        <w:t xml:space="preserve">13. Treinamento</w:t>
      </w:r>
    </w:p>
    <w:p>
      <w:pPr>
        <w:spacing w:after="180" w:line="300"/>
        <w:jc w:val="both"/>
      </w:pPr>
      <w:r>
        <w:t xml:space="preserve">Todo colaborador com acesso a ferramentas de IA deverá concluir o treinamento de uso responsável de IA e proteção de dados disponibilizado pela empresa, com reciclagem periódica. O acesso poderá ser condicionado à conclusão do treinamento.</w:t>
      </w:r>
    </w:p>
    <w:p>
      <w:pPr>
        <w:pStyle w:val="Heading1"/>
      </w:pPr>
      <w:r>
        <w:rPr>
          <w:color w:val="1F4033"/>
        </w:rPr>
        <w:t xml:space="preserve">14. Monitoramento e auditoria</w:t>
      </w:r>
    </w:p>
    <w:p>
      <w:pPr>
        <w:pStyle w:val="ListParagraph"/>
        <w:numPr>
          <w:ilvl w:val="0"/>
          <w:numId w:val="11"/>
        </w:numPr>
        <w:spacing w:after="120" w:line="300"/>
        <w:jc w:val="both"/>
      </w:pPr>
      <w:r>
        <w:t xml:space="preserve">O uso das ferramentas corporativas de IA poderá ser registrado, monitorado e auditado pela empresa, nos limites da legislação, para fins de segurança e conformidade;</w:t>
      </w:r>
    </w:p>
    <w:p>
      <w:pPr>
        <w:pStyle w:val="ListParagraph"/>
        <w:numPr>
          <w:ilvl w:val="0"/>
          <w:numId w:val="11"/>
        </w:numPr>
        <w:spacing w:after="120" w:line="300"/>
        <w:jc w:val="both"/>
      </w:pPr>
      <w:r>
        <w:t xml:space="preserve">A Tecnologia poderá bloquear ferramentas não homologadas na rede corporativa e revogar acessos em caso de uso indevido.</w:t>
      </w:r>
    </w:p>
    <w:p>
      <w:pPr>
        <w:pStyle w:val="Heading1"/>
      </w:pPr>
      <w:r>
        <w:rPr>
          <w:color w:val="1F4033"/>
        </w:rPr>
        <w:t xml:space="preserve">15. Descumprimento</w:t>
      </w:r>
    </w:p>
    <w:p>
      <w:pPr>
        <w:spacing w:after="180" w:line="300"/>
        <w:jc w:val="both"/>
      </w:pPr>
      <w:r>
        <w:t xml:space="preserve">O descumprimento desta Política sujeita o infrator a medidas disciplinares previstas no regulamento interno e na legislação trabalhista (advertência, suspensão e rescisão por justa causa, conforme a gravidade), sem prejuízo de responsabilização civil e criminal e do dever de ressarcimento por danos causados à empresa ou a terceiros.</w:t>
      </w:r>
    </w:p>
    <w:p>
      <w:pPr>
        <w:pStyle w:val="Heading1"/>
      </w:pPr>
      <w:r>
        <w:rPr>
          <w:color w:val="1F4033"/>
        </w:rPr>
        <w:t xml:space="preserve">16. Disposições finais</w:t>
      </w:r>
    </w:p>
    <w:p>
      <w:pPr>
        <w:spacing w:after="180" w:line="300"/>
        <w:jc w:val="both"/>
      </w:pPr>
      <w:r>
        <w:t xml:space="preserve">16.1. Casos omissos serão avaliados pelo Comitê de IA.</w:t>
      </w:r>
    </w:p>
    <w:p>
      <w:pPr>
        <w:spacing w:after="180" w:line="300"/>
        <w:jc w:val="both"/>
      </w:pPr>
      <w:r>
        <w:t xml:space="preserve">16.2. Esta Política entra em vigor na data de sua publicação e será revisada no mínimo anualmente, ou antes, em caso de mudança relevante na legislação (ex.: aprovação do marco legal da IA) ou nas ferramentas utilizadas.</w:t>
      </w:r>
    </w:p>
    <w:p>
      <w:pPr>
        <w:spacing w:after="180" w:line="300"/>
        <w:jc w:val="both"/>
      </w:pPr>
      <w:r>
        <w:t xml:space="preserve">16.3. Documentos relacionados: Código de Conduta; Política de Segurança da Informação; Política de Privacidade e Proteção de Dados; Termo de Uso e Responsabilidade — IA; Lista de Ferramentas de IA Aprovadas.</w:t>
      </w:r>
    </w:p>
    <w:p>
      <w:pPr>
        <w:pStyle w:val="Heading1"/>
      </w:pPr>
      <w:r>
        <w:rPr>
          <w:color w:val="1F4033"/>
        </w:rPr>
        <w:t xml:space="preserve">Histórico de revisões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226"/>
        <w:gridCol w:w="2500"/>
      </w:tblGrid>
      <w:tr>
        <w:tc>
          <w:tcPr>
            <w:tcW w:type="dxa" w:w="15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Aprovação</w:t>
            </w:r>
          </w:p>
        </w:tc>
      </w:tr>
      <w:tr>
        <w:tc>
          <w:tcPr>
            <w:tcW w:type="dxa" w:w="15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___/___/2026</w:t>
            </w:r>
          </w:p>
        </w:tc>
        <w:tc>
          <w:tcPr>
            <w:tcW w:type="dxa" w:w="32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Emissão inicial</w:t>
            </w:r>
          </w:p>
        </w:tc>
        <w:tc>
          <w:tcPr>
            <w:tcW w:type="dxa" w:w="25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Diretoria de Tecnologia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7E8" w:sz="4" w:space="4"/>
      </w:pBdr>
      <w:tabs>
        <w:tab w:val="right" w:pos="9026"/>
      </w:tabs>
    </w:pPr>
    <w:r>
      <w:rPr>
        <w:color w:val="636466"/>
        <w:sz w:val="18"/>
        <w:szCs w:val="18"/>
      </w:rPr>
      <w:t xml:space="preserve">ARCOM S/A — Uso Interno</w:t>
    </w:r>
    <w:r>
      <w:rPr>
        <w:color w:val="636466"/>
        <w:sz w:val="18"/>
        <w:szCs w:val="18"/>
      </w:rPr>
      <w:t xml:space="preserve">	Página </w:t>
    </w:r>
    <w:r>
      <w:rPr>
        <w:color w:val="6364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36466"/>
        <w:sz w:val="18"/>
        <w:szCs w:val="18"/>
      </w:rPr>
      <w:t xml:space="preserve"> de </w:t>
    </w:r>
    <w:r>
      <w:rPr>
        <w:color w:val="6364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AE64F" w:sz="18" w:space="6"/>
      </w:pBdr>
      <w:tabs>
        <w:tab w:val="right" w:pos="9026"/>
      </w:tabs>
    </w:pPr>
    <w:r>
      <w:drawing>
        <wp:inline distT="0" distB="0" distL="0" distR="0">
          <wp:extent cx="781050" cy="285750"/>
          <wp:effectExtent t="0" r="0" b="0" l="0"/>
          <wp:docPr id="1" name="logo-arcom" descr="Logotipo ARCOM" title="AR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36466"/>
        <w:sz w:val="18"/>
        <w:szCs w:val="18"/>
      </w:rPr>
      <w:t xml:space="preserve">	Política de Uso de Inteligência Artificial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ed Hat Display" w:cs="Red Hat Display" w:eastAsia="Red Hat Display" w:hAnsi="Red Hat Display"/>
        <w:color w:val="6364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Red Hat Display" w:cs="Red Hat Display" w:eastAsia="Red Hat Display" w:hAnsi="Red Hat Display"/>
      <w:b/>
      <w:bCs/>
      <w:color w:val="1F4033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Red Hat Display" w:cs="Red Hat Display" w:eastAsia="Red Hat Display" w:hAnsi="Red Hat Display"/>
      <w:b/>
      <w:bCs/>
      <w:color w:val="0078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059dc5a429b32045ef77034b58f9598d8e7c6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2026-07-07T11:02:31.556Z</dcterms:created>
  <dcterms:modified xsi:type="dcterms:W3CDTF">2026-07-07T11:02:31.556Z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