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b/>
          <w:bCs/>
          <w:color w:val="007840"/>
          <w:spacing w:val="30"/>
          <w:sz w:val="18"/>
          <w:szCs w:val="18"/>
        </w:rPr>
        <w:t xml:space="preserve">GUIA RÁPIDO</w:t>
      </w:r>
    </w:p>
    <w:p>
      <w:pPr>
        <w:spacing w:after="80"/>
      </w:pPr>
      <w:r>
        <w:rPr>
          <w:b/>
          <w:bCs/>
          <w:color w:val="1F4033"/>
          <w:sz w:val="32"/>
          <w:szCs w:val="32"/>
        </w:rPr>
        <w:t xml:space="preserve">IA na Arcom</w:t>
      </w:r>
    </w:p>
    <w:p>
      <w:pPr>
        <w:spacing w:after="140"/>
      </w:pPr>
      <w:r>
        <w:rPr>
          <w:color w:val="636466"/>
          <w:sz w:val="20"/>
          <w:szCs w:val="20"/>
        </w:rPr>
        <w:t xml:space="preserve">O essencial da Política de Uso de IA (POL-TI-001) em uma página</w:t>
      </w:r>
    </w:p>
    <w:p>
      <w:pPr>
        <w:pStyle w:val="Heading1"/>
        <w:spacing w:after="100" w:before="200"/>
      </w:pPr>
      <w:r>
        <w:rPr>
          <w:color w:val="007840"/>
        </w:rPr>
        <w:t xml:space="preserve">Pode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Usar as ferramentas de IA aprovadas pela Tecnologia, com sua conta corporativa;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Redigir, revisar, traduzir e resumir textos e documentos sem dados pessoais ou confidenciais;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Fazer brainstorming, pesquisas e estruturar apresentações e materiais de trabalho;</w:t>
      </w:r>
    </w:p>
    <w:p>
      <w:pPr>
        <w:pStyle w:val="ListParagraph"/>
        <w:numPr>
          <w:ilvl w:val="0"/>
          <w:numId w:val="2"/>
        </w:numPr>
        <w:spacing w:after="60" w:line="270"/>
        <w:jc w:val="both"/>
      </w:pPr>
      <w:r>
        <w:t xml:space="preserve">Pedir ajuda com código e automações, dentro das regras de segurança.</w:t>
      </w:r>
    </w:p>
    <w:p>
      <w:pPr>
        <w:pStyle w:val="Heading1"/>
        <w:spacing w:after="100" w:before="200"/>
      </w:pPr>
      <w:r>
        <w:rPr>
          <w:color w:val="D13D29"/>
        </w:rPr>
        <w:t xml:space="preserve">Não pode</w:t>
      </w:r>
    </w:p>
    <w:p>
      <w:pPr>
        <w:pStyle w:val="ListParagraph"/>
        <w:numPr>
          <w:ilvl w:val="0"/>
          <w:numId w:val="3"/>
        </w:numPr>
        <w:spacing w:after="60" w:line="270"/>
        <w:jc w:val="both"/>
      </w:pPr>
      <w:r>
        <w:t xml:space="preserve">Usar conta pessoal ou versão gratuita de IA para assuntos da empresa;</w:t>
      </w:r>
    </w:p>
    <w:p>
      <w:pPr>
        <w:pStyle w:val="ListParagraph"/>
        <w:numPr>
          <w:ilvl w:val="0"/>
          <w:numId w:val="3"/>
        </w:numPr>
        <w:spacing w:after="60" w:line="270"/>
        <w:jc w:val="both"/>
      </w:pPr>
      <w:r>
        <w:t xml:space="preserve">Colocar na IA dados de clientes, fornecedores ou colegas (nome, CPF, telefone, dados financeiros ou de saúde);</w:t>
      </w:r>
    </w:p>
    <w:p>
      <w:pPr>
        <w:pStyle w:val="ListParagraph"/>
        <w:numPr>
          <w:ilvl w:val="0"/>
          <w:numId w:val="3"/>
        </w:numPr>
        <w:spacing w:after="60" w:line="270"/>
        <w:jc w:val="both"/>
      </w:pPr>
      <w:r>
        <w:t xml:space="preserve">Colocar na IA preços, margens, contratos, senhas, dados financeiros ou informações estratégicas;</w:t>
      </w:r>
    </w:p>
    <w:p>
      <w:pPr>
        <w:pStyle w:val="ListParagraph"/>
        <w:numPr>
          <w:ilvl w:val="0"/>
          <w:numId w:val="3"/>
        </w:numPr>
        <w:spacing w:after="60" w:line="270"/>
        <w:jc w:val="both"/>
      </w:pPr>
      <w:r>
        <w:t xml:space="preserve">Usar resposta de IA sem conferir — a responsabilidade pelo trabalho é sua;</w:t>
      </w:r>
    </w:p>
    <w:p>
      <w:pPr>
        <w:pStyle w:val="ListParagraph"/>
        <w:numPr>
          <w:ilvl w:val="0"/>
          <w:numId w:val="3"/>
        </w:numPr>
        <w:spacing w:after="60" w:line="270"/>
        <w:jc w:val="both"/>
      </w:pPr>
      <w:r>
        <w:t xml:space="preserve">Deixar a IA decidir sozinha algo que afete pessoas (contratação, crédito, avaliação);</w:t>
      </w:r>
    </w:p>
    <w:p>
      <w:pPr>
        <w:pStyle w:val="ListParagraph"/>
        <w:numPr>
          <w:ilvl w:val="0"/>
          <w:numId w:val="3"/>
        </w:numPr>
        <w:spacing w:after="60" w:line="270"/>
        <w:jc w:val="both"/>
      </w:pPr>
      <w:r>
        <w:t xml:space="preserve">Criar conteúdo falso, ofensivo, deepfakes ou que copie material de terceiros.</w:t>
      </w:r>
    </w:p>
    <w:p>
      <w:pPr>
        <w:pStyle w:val="Heading1"/>
        <w:spacing w:after="100" w:before="200"/>
      </w:pPr>
      <w:r>
        <w:rPr>
          <w:color w:val="1F4033"/>
        </w:rPr>
        <w:t xml:space="preserve">Regras de ouro</w:t>
      </w:r>
    </w:p>
    <w:p>
      <w:pPr>
        <w:pStyle w:val="ListParagraph"/>
        <w:numPr>
          <w:ilvl w:val="0"/>
          <w:numId w:val="4"/>
        </w:numPr>
        <w:spacing w:after="60" w:line="270"/>
        <w:jc w:val="both"/>
      </w:pPr>
      <w:r>
        <w:rPr>
          <w:b/>
          <w:bCs/>
          <w:color w:val="1F4033"/>
        </w:rPr>
        <w:t xml:space="preserve">Na dúvida, não cole. </w:t>
      </w:r>
      <w:r>
        <w:t xml:space="preserve">Se a informação é confidencial ou identifica alguém, não vai para a IA.</w:t>
      </w:r>
    </w:p>
    <w:p>
      <w:pPr>
        <w:pStyle w:val="ListParagraph"/>
        <w:numPr>
          <w:ilvl w:val="0"/>
          <w:numId w:val="4"/>
        </w:numPr>
        <w:spacing w:after="60" w:line="270"/>
        <w:jc w:val="both"/>
      </w:pPr>
      <w:r>
        <w:rPr>
          <w:b/>
          <w:bCs/>
          <w:color w:val="1F4033"/>
        </w:rPr>
        <w:t xml:space="preserve">IA é rascunho. </w:t>
      </w:r>
      <w:r>
        <w:t xml:space="preserve">Sempre revise fatos, números e referências antes de usar.</w:t>
      </w:r>
    </w:p>
    <w:p>
      <w:pPr>
        <w:pStyle w:val="ListParagraph"/>
        <w:numPr>
          <w:ilvl w:val="0"/>
          <w:numId w:val="4"/>
        </w:numPr>
        <w:spacing w:after="60" w:line="270"/>
        <w:jc w:val="both"/>
      </w:pPr>
      <w:r>
        <w:rPr>
          <w:b/>
          <w:bCs/>
          <w:color w:val="1F4033"/>
        </w:rPr>
        <w:t xml:space="preserve">Só ferramenta aprovada. </w:t>
      </w:r>
      <w:r>
        <w:t xml:space="preserve">A lista oficial está disponível na intranet / com a Tecnologia.</w:t>
      </w:r>
    </w:p>
    <w:p>
      <w:pPr>
        <w:pStyle w:val="ListParagraph"/>
        <w:numPr>
          <w:ilvl w:val="0"/>
          <w:numId w:val="4"/>
        </w:numPr>
        <w:spacing w:after="60" w:line="270"/>
        <w:jc w:val="both"/>
      </w:pPr>
      <w:r>
        <w:rPr>
          <w:b/>
          <w:bCs/>
          <w:color w:val="1F4033"/>
        </w:rPr>
        <w:t xml:space="preserve">Aconteceu um vazamento? </w:t>
      </w:r>
      <w:r>
        <w:t xml:space="preserve">Avise a Tecnologia e o DPO imediatamente. Agir rápido reduz o dano.</w:t>
      </w:r>
    </w:p>
    <w:p>
      <w:pPr>
        <w:pStyle w:val="Heading1"/>
        <w:spacing w:after="100" w:before="200"/>
      </w:pPr>
      <w:r>
        <w:rPr>
          <w:color w:val="1F4033"/>
        </w:rPr>
        <w:t xml:space="preserve">Dúvidas e solicitações</w:t>
      </w:r>
    </w:p>
    <w:p>
      <w:pPr>
        <w:spacing w:after="100" w:line="270"/>
        <w:jc w:val="both"/>
      </w:pPr>
      <w:r>
        <w:rPr>
          <w:b/>
          <w:bCs/>
          <w:color w:val="1F4033"/>
        </w:rPr>
        <w:t xml:space="preserve">Quero usar uma ferramenta nova: </w:t>
      </w:r>
      <w:r>
        <w:t xml:space="preserve">solicite homologação à Diretoria de Tecnologia.</w:t>
      </w:r>
    </w:p>
    <w:p>
      <w:pPr>
        <w:spacing w:after="100" w:line="270"/>
        <w:jc w:val="both"/>
      </w:pPr>
      <w:r>
        <w:rPr>
          <w:b/>
          <w:bCs/>
          <w:color w:val="1F4033"/>
        </w:rPr>
        <w:t xml:space="preserve">Dúvidas sobre dados pessoais: </w:t>
      </w:r>
      <w:r>
        <w:t xml:space="preserve">procure o Encarregado de Dados (DPO).</w:t>
      </w:r>
    </w:p>
    <w:p>
      <w:pPr>
        <w:spacing w:after="100" w:line="270"/>
        <w:jc w:val="both"/>
      </w:pPr>
      <w:r>
        <w:rPr>
          <w:b/>
          <w:bCs/>
          <w:color w:val="1F4033"/>
        </w:rPr>
        <w:t xml:space="preserve">Dúvidas gerais: </w:t>
      </w:r>
      <w:r>
        <w:t xml:space="preserve">fale com seu gestor ou com a Diretoria de Tecnologia.</w:t>
      </w:r>
    </w:p>
    <w:p>
      <w:pPr>
        <w:spacing w:after="100" w:line="270"/>
        <w:jc w:val="both"/>
      </w:pPr>
      <w:r>
        <w:rPr>
          <w:i/>
          <w:iCs/>
          <w:color w:val="636466"/>
          <w:sz w:val="20"/>
          <w:szCs w:val="20"/>
        </w:rPr>
        <w:t xml:space="preserve">O uso das ferramentas de IA exige a assinatura do Termo de Uso e Responsabilidade (TRM-TI-001) e a conclusão do treinamento. O descumprimento das regras pode gerar medidas disciplinares.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7E8" w:sz="4" w:space="4"/>
      </w:pBdr>
      <w:tabs>
        <w:tab w:val="right" w:pos="9026"/>
      </w:tabs>
    </w:pPr>
    <w:r>
      <w:rPr>
        <w:color w:val="636466"/>
        <w:sz w:val="18"/>
        <w:szCs w:val="18"/>
      </w:rPr>
      <w:t xml:space="preserve">ARCOM S/A — Uso Interno</w:t>
    </w:r>
    <w:r>
      <w:rPr>
        <w:color w:val="636466"/>
        <w:sz w:val="18"/>
        <w:szCs w:val="18"/>
      </w:rPr>
      <w:t xml:space="preserve">	Página </w:t>
    </w:r>
    <w:r>
      <w:rPr>
        <w:color w:val="636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36466"/>
        <w:sz w:val="18"/>
        <w:szCs w:val="18"/>
      </w:rPr>
      <w:t xml:space="preserve"> de </w:t>
    </w:r>
    <w:r>
      <w:rPr>
        <w:color w:val="636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E64F" w:sz="18" w:space="6"/>
      </w:pBdr>
      <w:tabs>
        <w:tab w:val="right" w:pos="9026"/>
      </w:tabs>
    </w:pPr>
    <w:r>
      <w:drawing>
        <wp:inline distT="0" distB="0" distL="0" distR="0">
          <wp:extent cx="781050" cy="285750"/>
          <wp:effectExtent t="0" r="0" b="0" l="0"/>
          <wp:docPr id="1" name="logo-arcom" descr="Logotipo ARCOM" title="AR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36466"/>
        <w:sz w:val="18"/>
        <w:szCs w:val="18"/>
      </w:rPr>
      <w:t xml:space="preserve">	Guia Rápido — Uso de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color w:val="636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Red Hat Display" w:cs="Red Hat Display" w:eastAsia="Red Hat Display" w:hAnsi="Red Hat Display"/>
      <w:b/>
      <w:bCs/>
      <w:color w:val="1F403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Red Hat Display" w:cs="Red Hat Display" w:eastAsia="Red Hat Display" w:hAnsi="Red Hat Display"/>
      <w:b/>
      <w:bCs/>
      <w:color w:val="0078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059dc5a429b32045ef77034b58f9598d8e7c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2026-07-07T11:02:31.572Z</dcterms:created>
  <dcterms:modified xsi:type="dcterms:W3CDTF">2026-07-07T11:02:31.572Z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