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Q9. Rate each brand.</w:t>
      </w:r>
    </w:p>
    <w:tbl>
      <w:tr>
        <w:trPr>
          <w:tblHeader/>
        </w:trPr>
        <w:tc>
          <w:tcPr/>
          <w:p>
            <w:r>
              <w:t xml:space="preserve">Brand</w:t>
            </w:r>
          </w:p>
        </w:tc>
        <w:tc>
          <w:tcPr>
            <w:gridSpan w:val="2"/>
          </w:tcPr>
          <w:p>
            <w:r>
              <w:t xml:space="preserve">Awareness</w:t>
            </w:r>
          </w:p>
        </w:tc>
        <w:tc>
          <w:tcPr/>
          <w:p>
            <w:r>
              <w:t xml:space="preserve">Usage</w:t>
            </w:r>
          </w:p>
        </w:tc>
        <w:tc>
          <w:tcPr/>
          <w:p>
            <w:r>
              <w:t xml:space="preserve">Price</w:t>
            </w:r>
          </w:p>
        </w:tc>
      </w:tr>
      <w:tr>
        <w:tc>
          <w:tcPr/>
          <w:p>
            <w:r>
              <w:t xml:space="preserve">Kestrel</w:t>
            </w:r>
          </w:p>
        </w:tc>
        <w:tc>
          <w:tcPr/>
          <w:p>
            <w:r>
              <w:t xml:space="preserve">aware-yes</w:t>
            </w:r>
          </w:p>
        </w:tc>
        <w:tc>
          <w:tcPr/>
          <w:p>
            <w:r>
              <w:t xml:space="preserve">aware-no</w:t>
            </w:r>
          </w:p>
        </w:tc>
        <w:tc>
          <w:tcPr/>
          <w:p>
            <w:r>
              <w:t xml:space="preserve">weekly</w:t>
            </w:r>
          </w:p>
        </w:tc>
        <w:tc>
          <w:tcPr/>
          <w:p>
            <w:r>
              <w:t xml:space="preserve">42 GBP</w:t>
            </w:r>
          </w:p>
        </w:tc>
      </w:tr>
      <w:tr>
        <w:tc>
          <w:tcPr/>
          <w:p>
            <w:r>
              <w:t xml:space="preserve">Sable</w:t>
            </w:r>
          </w:p>
        </w:tc>
        <w:tc>
          <w:tcPr/>
          <w:p>
            <w:r>
              <w:t xml:space="preserve">aware-yes</w:t>
            </w:r>
          </w:p>
        </w:tc>
        <w:tc>
          <w:tcPr/>
          <w:p>
            <w:r>
              <w:t xml:space="preserve">aware-no</w:t>
            </w:r>
          </w:p>
        </w:tc>
        <w:tc>
          <w:tcPr/>
          <w:p>
            <w:r>
              <w:t xml:space="preserve">monthly</w:t>
            </w:r>
          </w:p>
        </w:tc>
        <w:tc>
          <w:tcPr/>
          <w:p>
            <w:r>
              <w:t xml:space="preserve">61 GBP</w:t>
            </w:r>
          </w:p>
        </w:tc>
      </w:tr>
    </w:tbl>
    <w:p>
      <w:r>
        <w:t xml:space="preserve">Q10. Regional quota.</w:t>
      </w:r>
    </w:p>
    <w:tbl>
      <w:tr>
        <w:trPr>
          <w:tblHeader/>
        </w:trP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City</w:t>
            </w:r>
          </w:p>
        </w:tc>
        <w:tc>
          <w:tcPr/>
          <w:p>
            <w:r>
              <w:t xml:space="preserve">Target</w:t>
            </w:r>
          </w:p>
        </w:tc>
      </w:tr>
      <w:tr>
        <w:tc>
          <w:tcPr>
            <w:vMerge w:val="restart"/>
          </w:tcPr>
          <w:p>
            <w:r>
              <w:t xml:space="preserve">METRO</w:t>
            </w:r>
          </w:p>
        </w:tc>
        <w:tc>
          <w:tcPr/>
          <w:p>
            <w:r>
              <w:t xml:space="preserve">London</w:t>
            </w:r>
          </w:p>
        </w:tc>
        <w:tc>
          <w:tcPr/>
          <w:p>
            <w:r>
              <w:t xml:space="preserve">300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Manchester</w:t>
            </w:r>
          </w:p>
        </w:tc>
        <w:tc>
          <w:tcPr/>
          <w:p>
            <w:r>
              <w:t xml:space="preserve">120</w:t>
            </w:r>
          </w:p>
        </w:tc>
      </w:tr>
    </w:tbl>
  </w:body>
</w:document>
</file>