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Q11. Brand usage.</w:t>
      </w:r>
    </w:p>
    <w:tbl>
      <w:tr>
        <w:trPr>
          <w:tblHeader/>
        </w:trPr>
        <w:tc>
          <w:tcPr/>
          <w:p>
            <w:r>
              <w:t xml:space="preserve">Brand</w:t>
            </w:r>
          </w:p>
        </w:tc>
        <w:tc>
          <w:tcPr/>
          <w:p>
            <w:r>
              <w:t xml:space="preserve">Aware</w:t>
            </w:r>
          </w:p>
        </w:tc>
        <w:tc>
          <w:tcPr/>
          <w:p>
            <w:r>
              <w:t xml:space="preserve">Use</w:t>
            </w:r>
          </w:p>
        </w:tc>
      </w:tr>
      <w:tr>
        <w:tc>
          <w:tcPr/>
          <w:p>
            <w:r>
              <w:t xml:space="preserve">Kestrel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weekly</w:t>
            </w:r>
          </w:p>
        </w:tc>
      </w:tr>
      <w:tr>
        <w:trPr>
          <w:gridBefore w:val="1"/>
        </w:trPr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monthly</w:t>
            </w:r>
          </w:p>
        </w:tc>
      </w:tr>
    </w:tbl>
  </w:body>
</w:document>
</file>