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Q30. Which zone are you in?</w:t>
      </w:r>
    </w:p>
    <w:sdt>
      <w:sdtPr>
        <w:dropDownList>
          <w:listItem w:displayText="Zone A" w:value="A"/>
          <w:listItem w:displayText="Zone B" w:value="B"/>
        </w:dropDownList>
      </w:sdtPr>
      <w:sdtContent>
        <w:p>
          <w:r>
            <w:t xml:space="preserve">Choose an item.</w:t>
          </w:r>
        </w:p>
      </w:sdtContent>
    </w:sdt>
    <w:p>
      <w:r>
        <w:t xml:space="preserve">SINGLE CODE.</w:t>
      </w:r>
    </w:p>
  </w:body>
</w:document>
</file>