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Q12. Awareness by region.</w:t>
      </w:r>
    </w:p>
    <w:tbl>
      <w:tr>
        <w:tc>
          <w:tcPr>
            <w:gridSpan w:val="3"/>
          </w:tcPr>
          <w:p>
            <w:r>
              <w:t xml:space="preserve">Table 4 — Awareness by region</w:t>
            </w:r>
          </w:p>
        </w:tc>
      </w:tr>
      <w:tr>
        <w:trPr>
          <w:tblHeader/>
        </w:trP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Aware</w:t>
            </w:r>
          </w:p>
        </w:tc>
        <w:tc>
          <w:tcPr/>
          <w:p>
            <w:r>
              <w:t xml:space="preserve">Use</w:t>
            </w:r>
          </w:p>
        </w:tc>
      </w:tr>
      <w:t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62%</w:t>
            </w:r>
          </w:p>
        </w:tc>
        <w:tc>
          <w:tcPr/>
          <w:p>
            <w:r>
              <w:t xml:space="preserve">41%</w:t>
            </w:r>
          </w:p>
        </w:tc>
      </w:tr>
    </w:tbl>
  </w:body>
</w:document>
</file>