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L — GRID</w:t>
      </w:r>
    </w:p>
    <w:p>
      <w:r>
        <w:t xml:space="preserve">Q18. Please rate each brand on the scale shown below.</w:t>
      </w:r>
    </w:p>
    <w:p>
      <w:r>
        <w:t xml:space="preserve">SCRIPTER: build the grid exactly as shown in the screenshot.</w:t>
      </w:r>
    </w:p>
    <w:p>
      <w:r>
        <w:drawing>
          <wp:inline distT="0" distB="0" distL="0" distR="0">
            <wp:extent cx="51435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Q19. And overall, which brand would you choose?</w:t>
      </w:r>
    </w:p>
    <w:p>
      <w:r>
        <w:drawing>
          <wp:inline distT="0" distB="0" distL="0" distR="0">
            <wp:extent cx="1428750" cy="428625"/>
            <wp:effectExtent t="0" r="0" b="0" l="0"/>
            <wp:docPr id="1" name="client-logo" descr="Client logo. SCRIPTER: show the client logo on the intro screen only, never on question screens." title="Northwind Utilit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35455ba75c5dba4ca48444912781a7935d0ee7.png"/><Relationship Id="rId8" Type="http://schemas.openxmlformats.org/officeDocument/2006/relationships/image" Target="media/cf16b1b17a716b175042ff0f3a71600e6c78533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2026-08-02T09:14:00.480Z</dcterms:created>
  <dcterms:modified xsi:type="dcterms:W3CDTF">2026-08-02T09:14:00.480Z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