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564AE" w14:textId="2A40000F" w:rsidR="008D63C2"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8D63C2">
        <w:rPr>
          <w:rStyle w:val="Strong"/>
          <w:rFonts w:cstheme="minorHAnsi"/>
          <w:color w:val="F49B00" w:themeColor="accent2" w:themeShade="BF"/>
          <w:u w:val="single"/>
        </w:rPr>
        <w:t>Shoe</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8D63C2" w:rsidRPr="008D63C2">
        <w:rPr>
          <w:rFonts w:asciiTheme="minorHAnsi" w:eastAsiaTheme="minorHAnsi" w:hAnsiTheme="minorHAnsi" w:cstheme="minorHAnsi"/>
          <w:color w:val="575757"/>
          <w:sz w:val="22"/>
          <w:szCs w:val="22"/>
          <w:shd w:val="clear" w:color="auto" w:fill="FFFFFF"/>
        </w:rPr>
        <w:t xml:space="preserve">Each year, a shoe manufacturing company faces demands (which must be met on time) for pairs of shoes as shown in the file P03_40.xlsx. Employees work three consecutive quarters and then receive one quarter off. For example, a worker might work during quarters 3 and 4 of one year and quarter 1 of the next year. During a quarter in which an employee works, he or she can produce up to 600 pairs of shoes. Each worker is paid $6000 per quarter. At the end of each quarter, a holding cost of $10 per pair of shoes is incurred. Determine how to minimize the cost per year (labor plus holding) of meeting the demands for shoes. To simplify the model, assume that at the end of each year, the ending inventory is 0. (You can assume that a given worker gets the same quarter off during each year.) </w:t>
      </w:r>
    </w:p>
    <w:p w14:paraId="67B322FA" w14:textId="4BC22C2C"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43A0380B" w14:textId="132613CD" w:rsidR="00E55369" w:rsidRDefault="001F5DC6" w:rsidP="00DC2722">
      <w:pPr>
        <w:rPr>
          <w:rFonts w:cstheme="minorHAnsi"/>
          <w:color w:val="575757"/>
          <w:shd w:val="clear" w:color="auto" w:fill="FFFFFF"/>
        </w:rPr>
      </w:pPr>
      <w:r w:rsidRPr="001F5DC6">
        <w:rPr>
          <w:rFonts w:cstheme="minorHAnsi"/>
          <w:color w:val="575757"/>
          <w:shd w:val="clear" w:color="auto" w:fill="FFFFFF"/>
        </w:rPr>
        <w:t xml:space="preserve">It is </w:t>
      </w:r>
      <w:proofErr w:type="gramStart"/>
      <w:r w:rsidRPr="001F5DC6">
        <w:rPr>
          <w:rFonts w:cstheme="minorHAnsi"/>
          <w:color w:val="575757"/>
          <w:shd w:val="clear" w:color="auto" w:fill="FFFFFF"/>
        </w:rPr>
        <w:t>similar to</w:t>
      </w:r>
      <w:proofErr w:type="gramEnd"/>
      <w:r w:rsidRPr="001F5DC6">
        <w:rPr>
          <w:rFonts w:cstheme="minorHAnsi"/>
          <w:color w:val="575757"/>
          <w:shd w:val="clear" w:color="auto" w:fill="FFFFFF"/>
        </w:rPr>
        <w:t xml:space="preserve"> </w:t>
      </w:r>
      <w:r>
        <w:rPr>
          <w:rFonts w:cstheme="minorHAnsi"/>
          <w:color w:val="575757"/>
          <w:shd w:val="clear" w:color="auto" w:fill="FFFFFF"/>
        </w:rPr>
        <w:t>the multi period p</w:t>
      </w:r>
      <w:r w:rsidR="00A10B48">
        <w:rPr>
          <w:rFonts w:cstheme="minorHAnsi"/>
          <w:color w:val="575757"/>
          <w:shd w:val="clear" w:color="auto" w:fill="FFFFFF"/>
        </w:rPr>
        <w:t xml:space="preserve">roduction plan (commodity, CH3-Q28) and we need to calculate the month end inventory to calculate the holding cost. Also, we will define a constraint saying that month end inventory is greater than or equal to zero which helps us in meeting our demand. </w:t>
      </w:r>
      <w:r w:rsidR="00A10B48">
        <w:rPr>
          <w:rFonts w:cstheme="minorHAnsi"/>
          <w:color w:val="575757"/>
          <w:shd w:val="clear" w:color="auto" w:fill="FFFFFF"/>
        </w:rPr>
        <w:t xml:space="preserve">Our objective is to minimize the </w:t>
      </w:r>
      <w:r w:rsidR="00A10B48">
        <w:rPr>
          <w:rFonts w:cstheme="minorHAnsi"/>
          <w:color w:val="575757"/>
          <w:shd w:val="clear" w:color="auto" w:fill="FFFFFF"/>
        </w:rPr>
        <w:t xml:space="preserve">total </w:t>
      </w:r>
      <w:r w:rsidR="00A10B48">
        <w:rPr>
          <w:rFonts w:cstheme="minorHAnsi"/>
          <w:color w:val="575757"/>
          <w:shd w:val="clear" w:color="auto" w:fill="FFFFFF"/>
        </w:rPr>
        <w:t>cost</w:t>
      </w:r>
      <w:r w:rsidR="00A10B48">
        <w:rPr>
          <w:rFonts w:cstheme="minorHAnsi"/>
          <w:color w:val="575757"/>
          <w:shd w:val="clear" w:color="auto" w:fill="FFFFFF"/>
        </w:rPr>
        <w:t xml:space="preserve"> (worker cost + Inventory holding cost). Our production is directly related to the number of workers working in that quarter. </w:t>
      </w:r>
      <w:r w:rsidR="0027052E">
        <w:rPr>
          <w:rFonts w:cstheme="minorHAnsi"/>
          <w:color w:val="575757"/>
          <w:shd w:val="clear" w:color="auto" w:fill="FFFFFF"/>
        </w:rPr>
        <w:t>W</w:t>
      </w:r>
      <w:r w:rsidR="00A10B48">
        <w:rPr>
          <w:rFonts w:cstheme="minorHAnsi"/>
          <w:color w:val="575757"/>
          <w:shd w:val="clear" w:color="auto" w:fill="FFFFFF"/>
        </w:rPr>
        <w:t xml:space="preserve">e must make sure that we meet our demand with limited workers and controlling the holding cost. The main concern </w:t>
      </w:r>
      <w:r w:rsidR="0027052E">
        <w:rPr>
          <w:rFonts w:cstheme="minorHAnsi"/>
          <w:color w:val="575757"/>
          <w:shd w:val="clear" w:color="auto" w:fill="FFFFFF"/>
        </w:rPr>
        <w:t>in this problem is that</w:t>
      </w:r>
      <w:r w:rsidR="00A10B48">
        <w:rPr>
          <w:rFonts w:cstheme="minorHAnsi"/>
          <w:color w:val="575757"/>
          <w:shd w:val="clear" w:color="auto" w:fill="FFFFFF"/>
        </w:rPr>
        <w:t xml:space="preserve"> we must make sure that our workers who start their work in quarter 1 should continue till quarter 3</w:t>
      </w:r>
      <w:r w:rsidR="0027052E">
        <w:rPr>
          <w:rFonts w:cstheme="minorHAnsi"/>
          <w:color w:val="575757"/>
          <w:shd w:val="clear" w:color="auto" w:fill="FFFFFF"/>
        </w:rPr>
        <w:t xml:space="preserve"> and take off in quarter 4</w:t>
      </w:r>
      <w:r w:rsidR="00A10B48">
        <w:rPr>
          <w:rFonts w:cstheme="minorHAnsi"/>
          <w:color w:val="575757"/>
          <w:shd w:val="clear" w:color="auto" w:fill="FFFFFF"/>
        </w:rPr>
        <w:t xml:space="preserve">. In similar way workers who start their work in quarter </w:t>
      </w:r>
      <w:r w:rsidR="0027052E">
        <w:rPr>
          <w:rFonts w:cstheme="minorHAnsi"/>
          <w:color w:val="575757"/>
          <w:shd w:val="clear" w:color="auto" w:fill="FFFFFF"/>
        </w:rPr>
        <w:t>3</w:t>
      </w:r>
      <w:r w:rsidR="00A10B48">
        <w:rPr>
          <w:rFonts w:cstheme="minorHAnsi"/>
          <w:color w:val="575757"/>
          <w:shd w:val="clear" w:color="auto" w:fill="FFFFFF"/>
        </w:rPr>
        <w:t xml:space="preserve"> will continue their work in quarter </w:t>
      </w:r>
      <w:r w:rsidR="0027052E">
        <w:rPr>
          <w:rFonts w:cstheme="minorHAnsi"/>
          <w:color w:val="575757"/>
          <w:shd w:val="clear" w:color="auto" w:fill="FFFFFF"/>
        </w:rPr>
        <w:t>4</w:t>
      </w:r>
      <w:r w:rsidR="00A10B48">
        <w:rPr>
          <w:rFonts w:cstheme="minorHAnsi"/>
          <w:color w:val="575757"/>
          <w:shd w:val="clear" w:color="auto" w:fill="FFFFFF"/>
        </w:rPr>
        <w:t xml:space="preserve">, quarter </w:t>
      </w:r>
      <w:r w:rsidR="0027052E">
        <w:rPr>
          <w:rFonts w:cstheme="minorHAnsi"/>
          <w:color w:val="575757"/>
          <w:shd w:val="clear" w:color="auto" w:fill="FFFFFF"/>
        </w:rPr>
        <w:t>1 of next year</w:t>
      </w:r>
      <w:r w:rsidR="00A10B48">
        <w:rPr>
          <w:rFonts w:cstheme="minorHAnsi"/>
          <w:color w:val="575757"/>
          <w:shd w:val="clear" w:color="auto" w:fill="FFFFFF"/>
        </w:rPr>
        <w:t xml:space="preserve"> and will take off in quarter </w:t>
      </w:r>
      <w:r w:rsidR="0027052E">
        <w:rPr>
          <w:rFonts w:cstheme="minorHAnsi"/>
          <w:color w:val="575757"/>
          <w:shd w:val="clear" w:color="auto" w:fill="FFFFFF"/>
        </w:rPr>
        <w:t>2</w:t>
      </w:r>
      <w:r w:rsidR="00A10B48">
        <w:rPr>
          <w:rFonts w:cstheme="minorHAnsi"/>
          <w:color w:val="575757"/>
          <w:shd w:val="clear" w:color="auto" w:fill="FFFFFF"/>
        </w:rPr>
        <w:t>.</w:t>
      </w:r>
      <w:r w:rsidR="0027052E">
        <w:rPr>
          <w:rFonts w:cstheme="minorHAnsi"/>
          <w:color w:val="575757"/>
          <w:shd w:val="clear" w:color="auto" w:fill="FFFFFF"/>
        </w:rPr>
        <w:t xml:space="preserve"> We must convert this info in to information table</w:t>
      </w:r>
      <m:oMath>
        <m:r>
          <w:rPr>
            <w:rFonts w:ascii="Cambria Math" w:hAnsi="Cambria Math" w:cstheme="minorHAnsi"/>
            <w:color w:val="575757"/>
            <w:shd w:val="clear" w:color="auto" w:fill="FFFFFF"/>
          </w:rPr>
          <m:t xml:space="preserve"> </m:t>
        </m:r>
        <m:sSub>
          <m:sSubPr>
            <m:ctrlPr>
              <w:rPr>
                <w:rFonts w:ascii="Cambria Math" w:hAnsi="Cambria Math"/>
              </w:rPr>
            </m:ctrlPr>
          </m:sSubPr>
          <m:e>
            <m:r>
              <w:rPr>
                <w:rFonts w:ascii="Cambria Math" w:hAnsi="Cambria Math"/>
              </w:rPr>
              <m:t>A</m:t>
            </m:r>
          </m:e>
          <m:sub>
            <m:r>
              <w:rPr>
                <w:rFonts w:ascii="Cambria Math" w:hAnsi="Cambria Math"/>
              </w:rPr>
              <m:t>ij</m:t>
            </m:r>
          </m:sub>
        </m:sSub>
      </m:oMath>
      <w:r w:rsidR="0027052E">
        <w:rPr>
          <w:rFonts w:cstheme="minorHAnsi"/>
          <w:color w:val="575757"/>
          <w:shd w:val="clear" w:color="auto" w:fill="FFFFFF"/>
        </w:rPr>
        <w:t xml:space="preserve">  which illustrates the employee work duration from quarter </w:t>
      </w:r>
      <w:proofErr w:type="spellStart"/>
      <w:r w:rsidR="0027052E">
        <w:rPr>
          <w:rFonts w:cstheme="minorHAnsi"/>
          <w:color w:val="575757"/>
          <w:shd w:val="clear" w:color="auto" w:fill="FFFFFF"/>
        </w:rPr>
        <w:t>i</w:t>
      </w:r>
      <w:proofErr w:type="spellEnd"/>
      <w:r w:rsidR="0027052E">
        <w:rPr>
          <w:rFonts w:cstheme="minorHAnsi"/>
          <w:color w:val="575757"/>
          <w:shd w:val="clear" w:color="auto" w:fill="FFFFFF"/>
        </w:rPr>
        <w:t xml:space="preserve"> to j. This helps in finding the number of workers available quarter. Please check below mathematical model for detailed calculations.</w:t>
      </w:r>
    </w:p>
    <w:p w14:paraId="36D25D37" w14:textId="77777777" w:rsidR="0027052E" w:rsidRPr="001F5DC6" w:rsidRDefault="0027052E" w:rsidP="00DC2722">
      <w:pPr>
        <w:rPr>
          <w:rFonts w:cstheme="minorHAnsi"/>
          <w:color w:val="575757"/>
          <w:shd w:val="clear" w:color="auto" w:fill="FFFFFF"/>
        </w:rPr>
      </w:pPr>
    </w:p>
    <w:p w14:paraId="352BA700" w14:textId="394FC0B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054D795" w:rsidR="00DC2722" w:rsidRPr="00BA4AE7" w:rsidRDefault="00DC2722" w:rsidP="00D136F1">
      <w:pPr>
        <w:pStyle w:val="NoSpacing"/>
        <w:rPr>
          <w:rFonts w:eastAsiaTheme="minorEastAsia"/>
        </w:rPr>
      </w:pPr>
      <m:oMathPara>
        <m:oMathParaPr>
          <m:jc m:val="left"/>
        </m:oMathParaPr>
        <m:oMath>
          <m:r>
            <w:rPr>
              <w:rFonts w:ascii="Cambria Math" w:hAnsi="Cambria Math"/>
            </w:rPr>
            <m:t>i,j</m:t>
          </m:r>
          <m:r>
            <m:rPr>
              <m:sty m:val="p"/>
            </m:rPr>
            <w:rPr>
              <w:rFonts w:ascii="Cambria Math" w:hAnsi="Cambria Math"/>
            </w:rPr>
            <m:t xml:space="preserve"> ϵ 1,2, </m:t>
          </m:r>
          <m:r>
            <m:rPr>
              <m:sty m:val="p"/>
            </m:rPr>
            <w:rPr>
              <w:rFonts w:ascii="Cambria Math" w:hAnsi="Cambria Math"/>
            </w:rPr>
            <m:t xml:space="preserve">3,4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quarters of year</m:t>
              </m:r>
            </m:e>
          </m:d>
        </m:oMath>
      </m:oMathPara>
    </w:p>
    <w:p w14:paraId="2E4FA025" w14:textId="229AE03A" w:rsidR="00BA4AE7" w:rsidRPr="004F2B9B" w:rsidRDefault="00BA4AE7" w:rsidP="00BA4AE7">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Demand  to produce product in quarter '</m:t>
          </m:r>
          <m:r>
            <w:rPr>
              <w:rFonts w:ascii="Cambria Math" w:hAnsi="Cambria Math"/>
            </w:rPr>
            <m:t>j</m:t>
          </m:r>
          <m:r>
            <w:rPr>
              <w:rFonts w:ascii="Cambria Math" w:hAnsi="Cambria Math"/>
            </w:rPr>
            <m:t xml:space="preserve">' </m:t>
          </m:r>
        </m:oMath>
      </m:oMathPara>
    </w:p>
    <w:p w14:paraId="0FA2CFA2" w14:textId="340A134D" w:rsidR="00BA4AE7" w:rsidRPr="004F2B9B" w:rsidRDefault="00BA4AE7" w:rsidP="00BA4AE7">
      <w:pPr>
        <w:pStyle w:val="NoSpacing"/>
        <w:rPr>
          <w:rFonts w:cstheme="minorHAnsi"/>
          <w:i/>
          <w:color w:val="00B0F0"/>
          <w:u w:val="single"/>
          <w:shd w:val="clear" w:color="auto" w:fill="FFFFFF"/>
        </w:rPr>
      </w:pPr>
      <m:oMathPara>
        <m:oMathParaPr>
          <m:jc m:val="left"/>
        </m:oMathParaPr>
        <m:oMath>
          <m:r>
            <w:rPr>
              <w:rFonts w:ascii="Cambria Math" w:hAnsi="Cambria Math"/>
            </w:rPr>
            <m:t>P</m:t>
          </m:r>
          <m:r>
            <m:rPr>
              <m:sty m:val="p"/>
            </m:rPr>
            <w:rPr>
              <w:rFonts w:ascii="Cambria Math" w:hAnsi="Cambria Math"/>
            </w:rPr>
            <m:t xml:space="preserve"> :</m:t>
          </m:r>
          <m:r>
            <w:rPr>
              <w:rFonts w:ascii="Cambria Math" w:hAnsi="Cambria Math"/>
            </w:rPr>
            <m:t>Pair of Shoes produced by one worker in a quarter</m:t>
          </m:r>
        </m:oMath>
      </m:oMathPara>
    </w:p>
    <w:p w14:paraId="2A66E85A" w14:textId="38E62CA7" w:rsidR="00BA4AE7" w:rsidRPr="004F2B9B" w:rsidRDefault="00BA4AE7" w:rsidP="00BA4AE7">
      <w:pPr>
        <w:pStyle w:val="NoSpacing"/>
        <w:rPr>
          <w:rFonts w:cstheme="minorHAnsi"/>
          <w:i/>
          <w:color w:val="00B0F0"/>
          <w:u w:val="single"/>
          <w:shd w:val="clear" w:color="auto" w:fill="FFFFFF"/>
        </w:rPr>
      </w:pPr>
      <m:oMathPara>
        <m:oMathParaPr>
          <m:jc m:val="left"/>
        </m:oMathParaPr>
        <m:oMath>
          <m:r>
            <w:rPr>
              <w:rFonts w:ascii="Cambria Math" w:hAnsi="Cambria Math"/>
            </w:rPr>
            <m:t>W</m:t>
          </m:r>
          <m:r>
            <m:rPr>
              <m:sty m:val="p"/>
            </m:rPr>
            <w:rPr>
              <w:rFonts w:ascii="Cambria Math" w:hAnsi="Cambria Math"/>
            </w:rPr>
            <m:t xml:space="preserve"> :</m:t>
          </m:r>
          <m:r>
            <w:rPr>
              <w:rFonts w:ascii="Cambria Math" w:hAnsi="Cambria Math"/>
            </w:rPr>
            <m:t xml:space="preserve">Wage paid to worker per quarter </m:t>
          </m:r>
        </m:oMath>
      </m:oMathPara>
    </w:p>
    <w:p w14:paraId="41DF4B11" w14:textId="3C6113B9" w:rsidR="00BA4AE7" w:rsidRPr="0027052E" w:rsidRDefault="00BA4AE7" w:rsidP="00D136F1">
      <w:pPr>
        <w:pStyle w:val="NoSpacing"/>
        <w:rPr>
          <w:rFonts w:eastAsiaTheme="minorEastAsia" w:cstheme="minorHAnsi"/>
          <w:i/>
        </w:rPr>
      </w:pPr>
      <m:oMathPara>
        <m:oMathParaPr>
          <m:jc m:val="left"/>
        </m:oMathParaPr>
        <m:oMath>
          <m:r>
            <w:rPr>
              <w:rFonts w:ascii="Cambria Math" w:hAnsi="Cambria Math"/>
            </w:rPr>
            <m:t>H</m:t>
          </m:r>
          <m:r>
            <m:rPr>
              <m:sty m:val="p"/>
            </m:rPr>
            <w:rPr>
              <w:rFonts w:ascii="Cambria Math" w:hAnsi="Cambria Math"/>
            </w:rPr>
            <m:t xml:space="preserve"> :</m:t>
          </m:r>
          <m:r>
            <w:rPr>
              <w:rFonts w:ascii="Cambria Math" w:hAnsi="Cambria Math"/>
            </w:rPr>
            <m:t>Holding cost for each pair of shoes</m:t>
          </m:r>
        </m:oMath>
      </m:oMathPara>
    </w:p>
    <w:p w14:paraId="3F446B60" w14:textId="77777777" w:rsidR="0027052E" w:rsidRPr="004F2B9B" w:rsidRDefault="0027052E" w:rsidP="0027052E">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 xml:space="preserve">Starting inventory in quarter 1 , </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 xml:space="preserve">=0 </m:t>
          </m:r>
        </m:oMath>
      </m:oMathPara>
    </w:p>
    <w:bookmarkStart w:id="0" w:name="_Hlk535783112"/>
    <w:p w14:paraId="54F92B98" w14:textId="7C42795D" w:rsidR="005C56C9" w:rsidRPr="004B498E" w:rsidRDefault="005C56C9" w:rsidP="005C56C9">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w:bookmarkEnd w:id="0"/>
          <m:r>
            <m:rPr>
              <m:sty m:val="p"/>
            </m:rPr>
            <w:rPr>
              <w:rFonts w:ascii="Cambria Math" w:hAnsi="Cambria Math"/>
            </w:rPr>
            <m:t xml:space="preserve"> :</m:t>
          </m:r>
          <m:r>
            <w:rPr>
              <w:rFonts w:ascii="Cambria Math" w:hAnsi="Cambria Math"/>
            </w:rPr>
            <m:t>Information table which illustrates the employee work duration from quarter i to j</m:t>
          </m:r>
          <m:r>
            <w:rPr>
              <w:rFonts w:ascii="Cambria Math" w:hAnsi="Cambria Math"/>
            </w:rPr>
            <m:t xml:space="preserve"> </m:t>
          </m:r>
        </m:oMath>
      </m:oMathPara>
    </w:p>
    <w:p w14:paraId="4E48ABF1" w14:textId="77777777" w:rsidR="005C56C9" w:rsidRPr="005C56C9" w:rsidRDefault="005C56C9" w:rsidP="00D136F1">
      <w:pPr>
        <w:pStyle w:val="NoSpacing"/>
        <w:rPr>
          <w:rFonts w:eastAsiaTheme="minorEastAsia" w:cstheme="minorHAnsi"/>
          <w:i/>
        </w:rPr>
      </w:pPr>
    </w:p>
    <w:tbl>
      <w:tblPr>
        <w:tblW w:w="0" w:type="auto"/>
        <w:tblLook w:val="04A0" w:firstRow="1" w:lastRow="0" w:firstColumn="1" w:lastColumn="0" w:noHBand="0" w:noVBand="1"/>
      </w:tblPr>
      <w:tblGrid>
        <w:gridCol w:w="1822"/>
        <w:gridCol w:w="1083"/>
        <w:gridCol w:w="1083"/>
        <w:gridCol w:w="1083"/>
        <w:gridCol w:w="1083"/>
      </w:tblGrid>
      <w:tr w:rsidR="005C56C9" w:rsidRPr="005C56C9" w14:paraId="7FA89AC6" w14:textId="77777777" w:rsidTr="005C56C9">
        <w:trPr>
          <w:trHeight w:val="296"/>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ACF0064" w14:textId="77777777" w:rsidR="005C56C9" w:rsidRPr="005C56C9" w:rsidRDefault="005C56C9" w:rsidP="005C56C9">
            <w:pPr>
              <w:spacing w:after="0" w:line="240" w:lineRule="auto"/>
              <w:rPr>
                <w:rFonts w:ascii="Calibri" w:eastAsia="Times New Roman" w:hAnsi="Calibri" w:cs="Calibri"/>
                <w:color w:val="000000"/>
              </w:rPr>
            </w:pPr>
            <w:r w:rsidRPr="005C56C9">
              <w:rPr>
                <w:rFonts w:ascii="Calibri" w:eastAsia="Times New Roman" w:hAnsi="Calibri" w:cs="Calibri"/>
                <w:color w:val="000000"/>
              </w:rPr>
              <w:t>Information Table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4EBD97"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CC2BB7"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B5C780"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B33FF0"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4</w:t>
            </w:r>
          </w:p>
        </w:tc>
      </w:tr>
      <w:tr w:rsidR="005C56C9" w:rsidRPr="005C56C9" w14:paraId="0FFBEC6D" w14:textId="77777777" w:rsidTr="005C56C9">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468DCD"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1</w:t>
            </w:r>
          </w:p>
        </w:tc>
        <w:tc>
          <w:tcPr>
            <w:tcW w:w="0" w:type="auto"/>
            <w:tcBorders>
              <w:top w:val="nil"/>
              <w:left w:val="nil"/>
              <w:bottom w:val="single" w:sz="4" w:space="0" w:color="auto"/>
              <w:right w:val="single" w:sz="4" w:space="0" w:color="auto"/>
            </w:tcBorders>
            <w:shd w:val="clear" w:color="000000" w:fill="BDD7EE"/>
            <w:noWrap/>
            <w:vAlign w:val="bottom"/>
            <w:hideMark/>
          </w:tcPr>
          <w:p w14:paraId="67BAAC4A"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7F708346"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1A6916F5"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4CA278AA"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0</w:t>
            </w:r>
          </w:p>
        </w:tc>
      </w:tr>
      <w:tr w:rsidR="005C56C9" w:rsidRPr="005C56C9" w14:paraId="07405BA2" w14:textId="77777777" w:rsidTr="005C56C9">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A9BCD5"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2</w:t>
            </w:r>
          </w:p>
        </w:tc>
        <w:tc>
          <w:tcPr>
            <w:tcW w:w="0" w:type="auto"/>
            <w:tcBorders>
              <w:top w:val="nil"/>
              <w:left w:val="nil"/>
              <w:bottom w:val="single" w:sz="4" w:space="0" w:color="auto"/>
              <w:right w:val="single" w:sz="4" w:space="0" w:color="auto"/>
            </w:tcBorders>
            <w:shd w:val="clear" w:color="000000" w:fill="BDD7EE"/>
            <w:noWrap/>
            <w:vAlign w:val="bottom"/>
            <w:hideMark/>
          </w:tcPr>
          <w:p w14:paraId="60BE09CC"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000000" w:fill="BDD7EE"/>
            <w:noWrap/>
            <w:vAlign w:val="bottom"/>
            <w:hideMark/>
          </w:tcPr>
          <w:p w14:paraId="758ACFD1"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695376AA"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41FC4DC5"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r>
      <w:tr w:rsidR="005C56C9" w:rsidRPr="005C56C9" w14:paraId="2374710C" w14:textId="77777777" w:rsidTr="005C56C9">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07F9E4"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3</w:t>
            </w:r>
          </w:p>
        </w:tc>
        <w:tc>
          <w:tcPr>
            <w:tcW w:w="0" w:type="auto"/>
            <w:tcBorders>
              <w:top w:val="nil"/>
              <w:left w:val="nil"/>
              <w:bottom w:val="single" w:sz="4" w:space="0" w:color="auto"/>
              <w:right w:val="single" w:sz="4" w:space="0" w:color="auto"/>
            </w:tcBorders>
            <w:shd w:val="clear" w:color="000000" w:fill="BDD7EE"/>
            <w:noWrap/>
            <w:vAlign w:val="bottom"/>
            <w:hideMark/>
          </w:tcPr>
          <w:p w14:paraId="0C0A87D5"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0B09AE5B"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000000" w:fill="BDD7EE"/>
            <w:noWrap/>
            <w:vAlign w:val="bottom"/>
            <w:hideMark/>
          </w:tcPr>
          <w:p w14:paraId="0D728079"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7CB76A42"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r>
      <w:tr w:rsidR="005C56C9" w:rsidRPr="005C56C9" w14:paraId="29DD3923" w14:textId="77777777" w:rsidTr="005C56C9">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191A1" w14:textId="77777777" w:rsidR="005C56C9" w:rsidRPr="005C56C9" w:rsidRDefault="005C56C9" w:rsidP="005C56C9">
            <w:pPr>
              <w:spacing w:after="0" w:line="240" w:lineRule="auto"/>
              <w:jc w:val="right"/>
              <w:rPr>
                <w:rFonts w:ascii="Calibri" w:eastAsia="Times New Roman" w:hAnsi="Calibri" w:cs="Calibri"/>
              </w:rPr>
            </w:pPr>
            <w:r w:rsidRPr="005C56C9">
              <w:rPr>
                <w:rFonts w:ascii="Calibri" w:eastAsia="Times New Roman" w:hAnsi="Calibri" w:cs="Calibri"/>
              </w:rPr>
              <w:t>Quarter 4</w:t>
            </w:r>
          </w:p>
        </w:tc>
        <w:tc>
          <w:tcPr>
            <w:tcW w:w="0" w:type="auto"/>
            <w:tcBorders>
              <w:top w:val="nil"/>
              <w:left w:val="nil"/>
              <w:bottom w:val="single" w:sz="4" w:space="0" w:color="auto"/>
              <w:right w:val="single" w:sz="4" w:space="0" w:color="auto"/>
            </w:tcBorders>
            <w:shd w:val="clear" w:color="000000" w:fill="BDD7EE"/>
            <w:noWrap/>
            <w:vAlign w:val="bottom"/>
            <w:hideMark/>
          </w:tcPr>
          <w:p w14:paraId="33DCB723"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356A97E7"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BDD7EE"/>
            <w:noWrap/>
            <w:vAlign w:val="bottom"/>
            <w:hideMark/>
          </w:tcPr>
          <w:p w14:paraId="555238C2"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000000" w:fill="BDD7EE"/>
            <w:noWrap/>
            <w:vAlign w:val="bottom"/>
            <w:hideMark/>
          </w:tcPr>
          <w:p w14:paraId="4E583B06" w14:textId="77777777" w:rsidR="005C56C9" w:rsidRPr="005C56C9" w:rsidRDefault="005C56C9" w:rsidP="005C56C9">
            <w:pPr>
              <w:spacing w:after="0" w:line="240" w:lineRule="auto"/>
              <w:jc w:val="right"/>
              <w:rPr>
                <w:rFonts w:ascii="Calibri" w:eastAsia="Times New Roman" w:hAnsi="Calibri" w:cs="Calibri"/>
                <w:color w:val="000000"/>
              </w:rPr>
            </w:pPr>
            <w:r w:rsidRPr="005C56C9">
              <w:rPr>
                <w:rFonts w:ascii="Calibri" w:eastAsia="Times New Roman" w:hAnsi="Calibri" w:cs="Calibri"/>
                <w:color w:val="000000"/>
              </w:rPr>
              <w:t>1</w:t>
            </w:r>
          </w:p>
        </w:tc>
      </w:tr>
    </w:tbl>
    <w:p w14:paraId="1EA10C3F" w14:textId="77777777" w:rsidR="00BA4AE7" w:rsidRPr="00C74B80" w:rsidRDefault="00BA4AE7" w:rsidP="00D136F1">
      <w:pPr>
        <w:pStyle w:val="NoSpacing"/>
        <w:rPr>
          <w:rFonts w:eastAsiaTheme="minorEastAsia"/>
        </w:rPr>
      </w:pPr>
    </w:p>
    <w:p w14:paraId="2B38685B" w14:textId="77777777" w:rsidR="004F2B9B" w:rsidRPr="004F2B9B" w:rsidRDefault="004F2B9B"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1DAEB152" w:rsidR="004107E8" w:rsidRPr="004107E8" w:rsidRDefault="00441812"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w:bookmarkStart w:id="1" w:name="_Hlk535778893"/>
          <m:r>
            <w:rPr>
              <w:rFonts w:ascii="Cambria Math" w:hAnsi="Cambria Math"/>
            </w:rPr>
            <m:t xml:space="preserve">Number of </m:t>
          </m:r>
          <m:r>
            <w:rPr>
              <w:rFonts w:ascii="Cambria Math" w:hAnsi="Cambria Math"/>
            </w:rPr>
            <m:t xml:space="preserve">workers who start working in quarter </m:t>
          </m:r>
          <m:r>
            <w:rPr>
              <w:rFonts w:ascii="Cambria Math" w:hAnsi="Cambria Math"/>
            </w:rPr>
            <m:t xml:space="preserve">'i' </m:t>
          </m:r>
        </m:oMath>
      </m:oMathPara>
      <w:bookmarkEnd w:id="1"/>
    </w:p>
    <w:p w14:paraId="2A8455B9" w14:textId="35D0353C" w:rsidR="00D136F1" w:rsidRDefault="00D136F1" w:rsidP="00D136F1">
      <w:pPr>
        <w:pStyle w:val="NoSpacing"/>
        <w:rPr>
          <w:rFonts w:eastAsiaTheme="minorEastAsia"/>
        </w:rPr>
      </w:pPr>
    </w:p>
    <w:p w14:paraId="4E30BFB0" w14:textId="77777777" w:rsidR="0027052E" w:rsidRDefault="0027052E" w:rsidP="00FE0C27">
      <w:pPr>
        <w:pStyle w:val="NoSpacing"/>
        <w:rPr>
          <w:rFonts w:cstheme="minorHAnsi"/>
          <w:i/>
          <w:color w:val="00B0F0"/>
          <w:u w:val="single"/>
          <w:shd w:val="clear" w:color="auto" w:fill="FFFFFF"/>
        </w:rPr>
      </w:pPr>
    </w:p>
    <w:p w14:paraId="494CD137" w14:textId="3F4ED43B" w:rsidR="00FE0C27" w:rsidRPr="004C3811" w:rsidRDefault="00FE0C27" w:rsidP="00FE0C27">
      <w:pPr>
        <w:pStyle w:val="NoSpacing"/>
        <w:rPr>
          <w:rFonts w:eastAsiaTheme="minorEastAsia"/>
          <w:color w:val="00B0F0"/>
          <w:u w:val="single"/>
          <w:shd w:val="clear" w:color="auto" w:fill="FFFFFF"/>
        </w:rPr>
      </w:pPr>
      <w:r>
        <w:rPr>
          <w:rFonts w:cstheme="minorHAnsi"/>
          <w:i/>
          <w:color w:val="00B0F0"/>
          <w:u w:val="single"/>
          <w:shd w:val="clear" w:color="auto" w:fill="FFFFFF"/>
        </w:rPr>
        <w:lastRenderedPageBreak/>
        <w:t>Calculated</w:t>
      </w:r>
      <w:r w:rsidRPr="00D136F1">
        <w:rPr>
          <w:rFonts w:cstheme="minorHAnsi"/>
          <w:i/>
          <w:color w:val="00B0F0"/>
          <w:u w:val="single"/>
          <w:shd w:val="clear" w:color="auto" w:fill="FFFFFF"/>
        </w:rPr>
        <w:t xml:space="preserve"> Variables:</w:t>
      </w:r>
    </w:p>
    <w:p w14:paraId="23031934" w14:textId="7D089E65" w:rsidR="00FE0C27" w:rsidRPr="00EF14A6" w:rsidRDefault="00FE0C27" w:rsidP="00FE0C27">
      <w:pPr>
        <w:pStyle w:val="NoSpacing"/>
        <w:rPr>
          <w:rFonts w:eastAsiaTheme="minorEastAsia"/>
        </w:rPr>
      </w:pPr>
    </w:p>
    <w:p w14:paraId="7228F0F9" w14:textId="42F4F4EE" w:rsidR="00EF14A6" w:rsidRPr="004B498E" w:rsidRDefault="00EF14A6" w:rsidP="00FE0C27">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e>
          </m:nary>
          <m:r>
            <w:rPr>
              <w:rFonts w:ascii="Cambria Math" w:hAnsi="Cambria Math"/>
            </w:rPr>
            <m:t xml:space="preserve">   for jϵ</m:t>
          </m:r>
          <m:d>
            <m:dPr>
              <m:begChr m:val="{"/>
              <m:endChr m:val="}"/>
              <m:ctrlPr>
                <w:rPr>
                  <w:rFonts w:ascii="Cambria Math" w:hAnsi="Cambria Math"/>
                  <w:i/>
                </w:rPr>
              </m:ctrlPr>
            </m:dPr>
            <m:e>
              <m:r>
                <w:rPr>
                  <w:rFonts w:ascii="Cambria Math" w:hAnsi="Cambria Math"/>
                </w:rPr>
                <m:t>1,2</m:t>
              </m:r>
              <m:r>
                <w:rPr>
                  <w:rFonts w:ascii="Cambria Math" w:hAnsi="Cambria Math"/>
                </w:rPr>
                <m:t>,3,4</m:t>
              </m:r>
            </m:e>
          </m:d>
          <m:r>
            <w:rPr>
              <w:rFonts w:ascii="Cambria Math" w:hAnsi="Cambria Math"/>
            </w:rPr>
            <m:t xml:space="preserve">                </m:t>
          </m:r>
          <m:r>
            <w:rPr>
              <w:rFonts w:ascii="Cambria Math" w:hAnsi="Cambria Math"/>
            </w:rPr>
            <m:t>Number of workers available in quarter</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r>
            <w:rPr>
              <w:rFonts w:ascii="Cambria Math" w:hAnsi="Cambria Math"/>
            </w:rPr>
            <m:t xml:space="preserve"> </m:t>
          </m:r>
        </m:oMath>
      </m:oMathPara>
    </w:p>
    <w:p w14:paraId="47C3CDBB" w14:textId="77777777" w:rsidR="004B498E" w:rsidRPr="00EF14A6" w:rsidRDefault="004B498E" w:rsidP="00FE0C27">
      <w:pPr>
        <w:pStyle w:val="NoSpacing"/>
        <w:rPr>
          <w:rFonts w:eastAsiaTheme="minorEastAsia"/>
        </w:rPr>
      </w:pPr>
    </w:p>
    <w:p w14:paraId="61E596BD" w14:textId="64ED7F80" w:rsidR="00EF14A6" w:rsidRPr="00EF14A6" w:rsidRDefault="004B498E" w:rsidP="00FE0C27">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*P  for jϵ</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r>
            <w:rPr>
              <w:rFonts w:ascii="Cambria Math" w:hAnsi="Cambria Math"/>
            </w:rPr>
            <m:t xml:space="preserve">                          </m:t>
          </m:r>
          <m:r>
            <w:rPr>
              <w:rFonts w:ascii="Cambria Math" w:hAnsi="Cambria Math"/>
            </w:rPr>
            <m:t xml:space="preserve">   Number of </m:t>
          </m:r>
          <m:r>
            <w:rPr>
              <w:rFonts w:ascii="Cambria Math" w:hAnsi="Cambria Math"/>
            </w:rPr>
            <m:t>shoes produced in</m:t>
          </m:r>
          <m:r>
            <w:rPr>
              <w:rFonts w:ascii="Cambria Math" w:hAnsi="Cambria Math"/>
            </w:rPr>
            <m:t xml:space="preserve"> quarter</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oMath>
      </m:oMathPara>
    </w:p>
    <w:p w14:paraId="48EA9AC9" w14:textId="53412F94" w:rsidR="00FE0C27" w:rsidRDefault="00FE0C27" w:rsidP="00FE0C27">
      <w:pPr>
        <w:pStyle w:val="NoSpacing"/>
        <w:rPr>
          <w:rFonts w:eastAsiaTheme="minorEastAsia"/>
        </w:rPr>
      </w:pPr>
    </w:p>
    <w:p w14:paraId="3A18CEDA" w14:textId="23CF05B0" w:rsidR="004B498E" w:rsidRPr="00EF14A6" w:rsidRDefault="004B498E" w:rsidP="004B498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*W  for jϵ</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Worker cost</m:t>
          </m:r>
          <m:r>
            <w:rPr>
              <w:rFonts w:ascii="Cambria Math" w:hAnsi="Cambria Math"/>
            </w:rPr>
            <m:t xml:space="preserve"> in quarter</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oMath>
      </m:oMathPara>
    </w:p>
    <w:p w14:paraId="06CB2360" w14:textId="21B51890" w:rsidR="004B498E" w:rsidRDefault="004B498E" w:rsidP="00FE0C27">
      <w:pPr>
        <w:pStyle w:val="NoSpacing"/>
        <w:rPr>
          <w:rFonts w:eastAsiaTheme="minorEastAsia"/>
        </w:rPr>
      </w:pPr>
    </w:p>
    <w:p w14:paraId="1FE5707D" w14:textId="0E2E5DBE" w:rsidR="00FB08E2" w:rsidRPr="00EF14A6" w:rsidRDefault="00FB08E2" w:rsidP="00FB08E2">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j-1</m:t>
                  </m:r>
                </m:sub>
              </m:sSub>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for jϵ</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r>
            <w:rPr>
              <w:rFonts w:ascii="Cambria Math" w:hAnsi="Cambria Math"/>
            </w:rPr>
            <m:t>Ending inventory</m:t>
          </m:r>
          <m:r>
            <w:rPr>
              <w:rFonts w:ascii="Cambria Math" w:hAnsi="Cambria Math"/>
            </w:rPr>
            <m:t xml:space="preserve"> in quarter</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oMath>
      </m:oMathPara>
    </w:p>
    <w:p w14:paraId="3B7C0555" w14:textId="77777777" w:rsidR="00FB08E2" w:rsidRPr="006129C6" w:rsidRDefault="00FB08E2" w:rsidP="00FE0C27">
      <w:pPr>
        <w:pStyle w:val="NoSpacing"/>
        <w:rPr>
          <w:rFonts w:eastAsiaTheme="minorEastAsia"/>
        </w:rPr>
      </w:pPr>
    </w:p>
    <w:p w14:paraId="0F97198A" w14:textId="5819E53C" w:rsidR="00FE0C27" w:rsidRPr="00FB08E2" w:rsidRDefault="00FB08E2"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rPr>
            <m:t>H</m:t>
          </m:r>
          <m:r>
            <w:rPr>
              <w:rFonts w:ascii="Cambria Math" w:hAnsi="Cambria Math"/>
            </w:rPr>
            <m:t xml:space="preserve">  for jϵ</m:t>
          </m:r>
          <m:d>
            <m:dPr>
              <m:begChr m:val="{"/>
              <m:endChr m:val="}"/>
              <m:ctrlPr>
                <w:rPr>
                  <w:rFonts w:ascii="Cambria Math" w:hAnsi="Cambria Math"/>
                  <w:i/>
                </w:rPr>
              </m:ctrlPr>
            </m:dPr>
            <m:e>
              <m:r>
                <w:rPr>
                  <w:rFonts w:ascii="Cambria Math" w:hAnsi="Cambria Math"/>
                </w:rPr>
                <m:t>1,2,3,4</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Holding</m:t>
          </m:r>
          <m:r>
            <w:rPr>
              <w:rFonts w:ascii="Cambria Math" w:hAnsi="Cambria Math"/>
            </w:rPr>
            <m:t xml:space="preserve"> cost in quarter</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oMath>
      </m:oMathPara>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537EECD4"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 xml:space="preserve">Total </m:t>
          </m:r>
          <m:r>
            <w:rPr>
              <w:rFonts w:ascii="Cambria Math" w:hAnsi="Cambria Math"/>
            </w:rPr>
            <m:t>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m:t>
                  </m:r>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e>
          </m:nary>
        </m:oMath>
      </m:oMathPara>
    </w:p>
    <w:p w14:paraId="55BDD79B" w14:textId="250E126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FD97933" w14:textId="77777777" w:rsidR="00B11E6D" w:rsidRPr="00B11E6D" w:rsidRDefault="00441812" w:rsidP="00D136F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oMath>
      </m:oMathPara>
    </w:p>
    <w:p w14:paraId="6752445D" w14:textId="41608164" w:rsidR="00B11E6D" w:rsidRPr="00B11E6D" w:rsidRDefault="00B11E6D" w:rsidP="00B11E6D">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j</m:t>
              </m:r>
            </m:sub>
          </m:sSub>
          <m:r>
            <m:rPr>
              <m:sty m:val="p"/>
            </m:rPr>
            <w:rPr>
              <w:rFonts w:ascii="Cambria Math" w:hAnsi="Cambria Math"/>
            </w:rPr>
            <m:t xml:space="preserve">≥0;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m:t>
          </m:r>
          <m:r>
            <w:rPr>
              <w:rFonts w:ascii="Cambria Math" w:hAnsi="Cambria Math"/>
            </w:rPr>
            <m:t xml:space="preserve">Ending inventory </m:t>
          </m:r>
          <m:r>
            <w:rPr>
              <w:rFonts w:ascii="Cambria Math" w:hAnsi="Cambria Math"/>
            </w:rPr>
            <m:t>constraint</m:t>
          </m:r>
        </m:oMath>
      </m:oMathPara>
    </w:p>
    <w:p w14:paraId="7634B93F" w14:textId="0C2AF6FF" w:rsidR="0050377E" w:rsidRPr="003023D6" w:rsidRDefault="001622AB" w:rsidP="00D136F1">
      <w:pPr>
        <w:pStyle w:val="NoSpacing"/>
        <w:rPr>
          <w:rFonts w:eastAsiaTheme="minorEastAsia"/>
        </w:rPr>
      </w:pPr>
      <m:oMathPara>
        <m:oMathParaPr>
          <m:jc m:val="left"/>
        </m:oMathParaPr>
        <m:oMath>
          <m:r>
            <m:rPr>
              <m:sty m:val="p"/>
            </m:rPr>
            <w:rPr>
              <w:rFonts w:ascii="Cambria Math" w:hAnsi="Cambria Math"/>
            </w:rPr>
            <m:t xml:space="preserve">  </m:t>
          </m:r>
        </m:oMath>
      </m:oMathPara>
    </w:p>
    <w:p w14:paraId="5D595D2A" w14:textId="16685349" w:rsidR="00F26DAE" w:rsidRPr="00621842" w:rsidRDefault="00621842" w:rsidP="00B11E6D">
      <w:pPr>
        <w:pStyle w:val="NoSpacing"/>
        <w:rPr>
          <w:rFonts w:cstheme="minorHAnsi"/>
          <w:i/>
          <w:color w:val="00B0F0"/>
          <w:u w:val="single"/>
          <w:shd w:val="clear" w:color="auto" w:fill="FFFFFF"/>
        </w:rPr>
      </w:pPr>
      <w:r>
        <w:rPr>
          <w:rFonts w:cstheme="minorHAnsi"/>
          <w:color w:val="575757"/>
          <w:shd w:val="clear" w:color="auto" w:fill="FFFFFF"/>
        </w:rPr>
        <w:t>As it is minimizing the cost problem, if we must make sure that we give non-negative constraint to the decision variable. Ending inventory</w:t>
      </w:r>
      <m:oMath>
        <m:sSub>
          <m:sSubPr>
            <m:ctrlPr>
              <w:rPr>
                <w:rFonts w:ascii="Cambria Math" w:hAnsi="Cambria Math"/>
              </w:rPr>
            </m:ctrlPr>
          </m:sSubPr>
          <m:e>
            <m:r>
              <w:rPr>
                <w:rFonts w:ascii="Cambria Math" w:hAnsi="Cambria Math"/>
              </w:rPr>
              <m:t xml:space="preserve"> </m:t>
            </m:r>
            <m:r>
              <w:rPr>
                <w:rFonts w:ascii="Cambria Math" w:hAnsi="Cambria Math"/>
              </w:rPr>
              <m:t>I</m:t>
            </m:r>
          </m:e>
          <m:sub>
            <m:r>
              <w:rPr>
                <w:rFonts w:ascii="Cambria Math" w:hAnsi="Cambria Math"/>
              </w:rPr>
              <m:t>j</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j-1</m:t>
                </m:r>
              </m:sub>
            </m:sSub>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m:t>
        </m:r>
      </m:oMath>
      <w:r>
        <w:rPr>
          <w:rFonts w:cstheme="minorHAnsi"/>
          <w:color w:val="575757"/>
          <w:shd w:val="clear" w:color="auto" w:fill="FFFFFF"/>
        </w:rPr>
        <w:t xml:space="preserve"> </w:t>
      </w:r>
      <w:r>
        <w:rPr>
          <w:rFonts w:cstheme="minorHAnsi"/>
          <w:color w:val="575757"/>
          <w:shd w:val="clear" w:color="auto" w:fill="FFFFFF"/>
        </w:rPr>
        <w:t xml:space="preserve"> </w:t>
      </w:r>
      <w:r>
        <w:rPr>
          <w:rFonts w:cstheme="minorHAnsi"/>
          <w:color w:val="575757"/>
          <w:shd w:val="clear" w:color="auto" w:fill="FFFFFF"/>
        </w:rPr>
        <w:t>should always be greater than or equal to zero which keeps helps in meeting the demand for that month.</w:t>
      </w:r>
      <w:bookmarkStart w:id="2" w:name="_GoBack"/>
      <w:bookmarkEnd w:id="2"/>
      <m:oMath>
        <m:r>
          <w:rPr>
            <w:rFonts w:ascii="Cambria Math" w:hAnsi="Cambria Math"/>
          </w:rPr>
          <m:t xml:space="preserve"> </m:t>
        </m:r>
      </m:oMath>
    </w:p>
    <w:p w14:paraId="49DB57B3" w14:textId="34A14281" w:rsidR="00E25AE8" w:rsidRPr="00056294" w:rsidRDefault="00E25AE8" w:rsidP="00E25AE8">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4DC99B3D" w14:textId="01C2A80F" w:rsidR="00E25AE8"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AB1DF3">
        <w:rPr>
          <w:rFonts w:eastAsiaTheme="minorEastAsia"/>
        </w:rPr>
        <w:object w:dxaOrig="1504" w:dyaOrig="982" w14:anchorId="23B5F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49pt" o:ole="">
            <v:imagedata r:id="rId8" o:title=""/>
          </v:shape>
          <o:OLEObject Type="Embed" ProgID="Excel.Sheet.12" ShapeID="_x0000_i1029" DrawAspect="Icon" ObjectID="_1609525437" r:id="rId9"/>
        </w:object>
      </w:r>
    </w:p>
    <w:p w14:paraId="39E04527" w14:textId="6BAA9F94" w:rsidR="008A4CC2" w:rsidRPr="009B5B3D" w:rsidRDefault="00CB4D13" w:rsidP="00E25AE8">
      <w:pPr>
        <w:rPr>
          <w:rFonts w:eastAsiaTheme="minorEastAsia"/>
        </w:rPr>
      </w:pPr>
      <w:r w:rsidRPr="00CB4D13">
        <w:drawing>
          <wp:inline distT="0" distB="0" distL="0" distR="0" wp14:anchorId="678B8F4D" wp14:editId="1AD6B915">
            <wp:extent cx="5943600" cy="272103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21031"/>
                    </a:xfrm>
                    <a:prstGeom prst="rect">
                      <a:avLst/>
                    </a:prstGeom>
                    <a:noFill/>
                    <a:ln>
                      <a:noFill/>
                    </a:ln>
                  </pic:spPr>
                </pic:pic>
              </a:graphicData>
            </a:graphic>
          </wp:inline>
        </w:drawing>
      </w:r>
    </w:p>
    <w:sectPr w:rsidR="008A4CC2" w:rsidRPr="009B5B3D" w:rsidSect="007F716C">
      <w:headerReference w:type="default" r:id="rId11"/>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7A39F" w14:textId="77777777" w:rsidR="00441812" w:rsidRDefault="00441812" w:rsidP="007F716C">
      <w:pPr>
        <w:spacing w:after="0" w:line="240" w:lineRule="auto"/>
      </w:pPr>
      <w:r>
        <w:separator/>
      </w:r>
    </w:p>
  </w:endnote>
  <w:endnote w:type="continuationSeparator" w:id="0">
    <w:p w14:paraId="45CA47A4" w14:textId="77777777" w:rsidR="00441812" w:rsidRDefault="00441812"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A068D" w14:textId="77777777" w:rsidR="00441812" w:rsidRDefault="00441812" w:rsidP="007F716C">
      <w:pPr>
        <w:spacing w:after="0" w:line="240" w:lineRule="auto"/>
      </w:pPr>
      <w:r>
        <w:separator/>
      </w:r>
    </w:p>
  </w:footnote>
  <w:footnote w:type="continuationSeparator" w:id="0">
    <w:p w14:paraId="0E984A11" w14:textId="77777777" w:rsidR="00441812" w:rsidRDefault="00441812"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0B8C9699" w:rsidR="007F716C" w:rsidRPr="001132AE" w:rsidRDefault="00795CC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CC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[Shoe]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sid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0B8C9699" w:rsidR="007F716C" w:rsidRPr="001132AE" w:rsidRDefault="00795CC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CC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[Shoe]</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sid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302A6"/>
    <w:rsid w:val="00046FD4"/>
    <w:rsid w:val="00050B3D"/>
    <w:rsid w:val="00056294"/>
    <w:rsid w:val="00072B05"/>
    <w:rsid w:val="00091FD3"/>
    <w:rsid w:val="00092CDD"/>
    <w:rsid w:val="000C7465"/>
    <w:rsid w:val="000D4FFD"/>
    <w:rsid w:val="001132AE"/>
    <w:rsid w:val="0013199F"/>
    <w:rsid w:val="00141B9D"/>
    <w:rsid w:val="00146D7F"/>
    <w:rsid w:val="001622AB"/>
    <w:rsid w:val="001775A2"/>
    <w:rsid w:val="0018034A"/>
    <w:rsid w:val="00190971"/>
    <w:rsid w:val="001926FB"/>
    <w:rsid w:val="00195091"/>
    <w:rsid w:val="001D0611"/>
    <w:rsid w:val="001D5618"/>
    <w:rsid w:val="001E6060"/>
    <w:rsid w:val="001F5DC6"/>
    <w:rsid w:val="00204A2A"/>
    <w:rsid w:val="00246423"/>
    <w:rsid w:val="0025144D"/>
    <w:rsid w:val="0027052E"/>
    <w:rsid w:val="002826F8"/>
    <w:rsid w:val="002B4250"/>
    <w:rsid w:val="002B6917"/>
    <w:rsid w:val="002C09B3"/>
    <w:rsid w:val="003023D6"/>
    <w:rsid w:val="00314901"/>
    <w:rsid w:val="00316FF1"/>
    <w:rsid w:val="00326FA9"/>
    <w:rsid w:val="00330F36"/>
    <w:rsid w:val="00343570"/>
    <w:rsid w:val="00356925"/>
    <w:rsid w:val="003B6E62"/>
    <w:rsid w:val="0040283F"/>
    <w:rsid w:val="004107E8"/>
    <w:rsid w:val="004132A4"/>
    <w:rsid w:val="00424E7C"/>
    <w:rsid w:val="004321FF"/>
    <w:rsid w:val="004342C8"/>
    <w:rsid w:val="00441812"/>
    <w:rsid w:val="00460108"/>
    <w:rsid w:val="00466920"/>
    <w:rsid w:val="00484195"/>
    <w:rsid w:val="004A233D"/>
    <w:rsid w:val="004B498E"/>
    <w:rsid w:val="004C3811"/>
    <w:rsid w:val="004D143E"/>
    <w:rsid w:val="004D28EB"/>
    <w:rsid w:val="004E2D25"/>
    <w:rsid w:val="004F2B9B"/>
    <w:rsid w:val="00502303"/>
    <w:rsid w:val="0050377E"/>
    <w:rsid w:val="0056170E"/>
    <w:rsid w:val="005C56C9"/>
    <w:rsid w:val="005D1368"/>
    <w:rsid w:val="005E217B"/>
    <w:rsid w:val="005E4C36"/>
    <w:rsid w:val="00621842"/>
    <w:rsid w:val="00622598"/>
    <w:rsid w:val="00632353"/>
    <w:rsid w:val="006A3ABA"/>
    <w:rsid w:val="006C4F8E"/>
    <w:rsid w:val="006E69D1"/>
    <w:rsid w:val="00707ADE"/>
    <w:rsid w:val="00722367"/>
    <w:rsid w:val="007354EE"/>
    <w:rsid w:val="007566FE"/>
    <w:rsid w:val="0076381E"/>
    <w:rsid w:val="0077163C"/>
    <w:rsid w:val="00795A73"/>
    <w:rsid w:val="00795CC8"/>
    <w:rsid w:val="007A5153"/>
    <w:rsid w:val="007C3222"/>
    <w:rsid w:val="007D27D5"/>
    <w:rsid w:val="007F716C"/>
    <w:rsid w:val="00827A71"/>
    <w:rsid w:val="00835772"/>
    <w:rsid w:val="00840BA9"/>
    <w:rsid w:val="00851CD2"/>
    <w:rsid w:val="008525C1"/>
    <w:rsid w:val="008548E7"/>
    <w:rsid w:val="008601D5"/>
    <w:rsid w:val="008A4CC2"/>
    <w:rsid w:val="008C1E6F"/>
    <w:rsid w:val="008C7389"/>
    <w:rsid w:val="008D63C2"/>
    <w:rsid w:val="008F2C4F"/>
    <w:rsid w:val="00907761"/>
    <w:rsid w:val="0091310B"/>
    <w:rsid w:val="0091648E"/>
    <w:rsid w:val="00971884"/>
    <w:rsid w:val="00981D92"/>
    <w:rsid w:val="00982726"/>
    <w:rsid w:val="00993B50"/>
    <w:rsid w:val="009A03BF"/>
    <w:rsid w:val="009B4A4F"/>
    <w:rsid w:val="009B5B3D"/>
    <w:rsid w:val="009C43EA"/>
    <w:rsid w:val="00A047F0"/>
    <w:rsid w:val="00A10B48"/>
    <w:rsid w:val="00A14B7C"/>
    <w:rsid w:val="00A3702F"/>
    <w:rsid w:val="00A50B1E"/>
    <w:rsid w:val="00A52F3E"/>
    <w:rsid w:val="00A64CF0"/>
    <w:rsid w:val="00A8367F"/>
    <w:rsid w:val="00AB022D"/>
    <w:rsid w:val="00AB1DF3"/>
    <w:rsid w:val="00AB2DDC"/>
    <w:rsid w:val="00AE5855"/>
    <w:rsid w:val="00AE58B3"/>
    <w:rsid w:val="00AF4E2C"/>
    <w:rsid w:val="00AF5D4C"/>
    <w:rsid w:val="00B11E6D"/>
    <w:rsid w:val="00B228CD"/>
    <w:rsid w:val="00B24FD0"/>
    <w:rsid w:val="00B35598"/>
    <w:rsid w:val="00B440BF"/>
    <w:rsid w:val="00B52861"/>
    <w:rsid w:val="00B60507"/>
    <w:rsid w:val="00B87C88"/>
    <w:rsid w:val="00B87D92"/>
    <w:rsid w:val="00B930B6"/>
    <w:rsid w:val="00B933C2"/>
    <w:rsid w:val="00B940D6"/>
    <w:rsid w:val="00BA42CB"/>
    <w:rsid w:val="00BA4AE7"/>
    <w:rsid w:val="00BB07C1"/>
    <w:rsid w:val="00BE3F7F"/>
    <w:rsid w:val="00C37D55"/>
    <w:rsid w:val="00C427A6"/>
    <w:rsid w:val="00C442C3"/>
    <w:rsid w:val="00C55AC4"/>
    <w:rsid w:val="00C677D1"/>
    <w:rsid w:val="00C705FF"/>
    <w:rsid w:val="00C726AD"/>
    <w:rsid w:val="00C74B80"/>
    <w:rsid w:val="00C85D78"/>
    <w:rsid w:val="00CA384E"/>
    <w:rsid w:val="00CB4D13"/>
    <w:rsid w:val="00CC69C0"/>
    <w:rsid w:val="00CF3996"/>
    <w:rsid w:val="00D136F1"/>
    <w:rsid w:val="00D2462A"/>
    <w:rsid w:val="00D31E4C"/>
    <w:rsid w:val="00D63D88"/>
    <w:rsid w:val="00D83E4C"/>
    <w:rsid w:val="00D9274A"/>
    <w:rsid w:val="00DA1635"/>
    <w:rsid w:val="00DC2722"/>
    <w:rsid w:val="00DD3E39"/>
    <w:rsid w:val="00DD543E"/>
    <w:rsid w:val="00DD7EF8"/>
    <w:rsid w:val="00DF7377"/>
    <w:rsid w:val="00E0527F"/>
    <w:rsid w:val="00E25AE8"/>
    <w:rsid w:val="00E31886"/>
    <w:rsid w:val="00E52288"/>
    <w:rsid w:val="00E55369"/>
    <w:rsid w:val="00E635DD"/>
    <w:rsid w:val="00E76B11"/>
    <w:rsid w:val="00EC0913"/>
    <w:rsid w:val="00ED2859"/>
    <w:rsid w:val="00EF14A6"/>
    <w:rsid w:val="00F02090"/>
    <w:rsid w:val="00F06C8D"/>
    <w:rsid w:val="00F26DAE"/>
    <w:rsid w:val="00F27E14"/>
    <w:rsid w:val="00FB08E2"/>
    <w:rsid w:val="00FB3276"/>
    <w:rsid w:val="00FC17A6"/>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3B37-6C0C-488F-B0A1-F0131263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248</cp:revision>
  <dcterms:created xsi:type="dcterms:W3CDTF">2018-10-13T21:51:00Z</dcterms:created>
  <dcterms:modified xsi:type="dcterms:W3CDTF">2019-01-21T04:37:00Z</dcterms:modified>
</cp:coreProperties>
</file>