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45F1" w14:textId="29A35969" w:rsidR="001C3E72" w:rsidRDefault="008601D5"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7006A0" w:rsidRPr="007006A0">
        <w:rPr>
          <w:rStyle w:val="smallcaps"/>
          <w:rFonts w:cstheme="minorHAnsi"/>
          <w:color w:val="F49B00" w:themeColor="accent2" w:themeShade="BF"/>
          <w:u w:val="single"/>
        </w:rPr>
        <w:t>Fitzsimmons and Allen</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7006A0" w:rsidRPr="007006A0">
        <w:rPr>
          <w:rFonts w:asciiTheme="minorHAnsi" w:eastAsiaTheme="minorHAnsi" w:hAnsiTheme="minorHAnsi" w:cstheme="minorHAnsi"/>
          <w:color w:val="575757"/>
          <w:sz w:val="22"/>
          <w:szCs w:val="22"/>
          <w:shd w:val="clear" w:color="auto" w:fill="FFFFFF"/>
        </w:rPr>
        <w:t>Based on Fitzsimmons and Allen (1983). The State of Texas frequently audits companies doing business in Texas. Because these companies often have headquarters located outside the state, auditors must be sent to out-of-state locations. Each year, auditors must make 500 trips to cities in the Northeast, 400 trips to cities in the Midwest, 300 trips to cities in the West, and 400 trips to cities in the South. Texas is considering </w:t>
      </w:r>
      <w:bookmarkStart w:id="0" w:name="PageEnd_329"/>
      <w:bookmarkEnd w:id="0"/>
      <w:r w:rsidR="007006A0" w:rsidRPr="007006A0">
        <w:rPr>
          <w:rFonts w:asciiTheme="minorHAnsi" w:eastAsiaTheme="minorHAnsi" w:hAnsiTheme="minorHAnsi" w:cstheme="minorHAnsi"/>
          <w:color w:val="575757"/>
          <w:sz w:val="22"/>
          <w:szCs w:val="22"/>
          <w:shd w:val="clear" w:color="auto" w:fill="FFFFFF"/>
        </w:rPr>
        <w:t>basing auditors in Chicago, New York, Atlanta, and Los Angeles. The annual cost of basing auditors in any city is $100,000. The cost of sending an auditor from any of these cities to a given region of the country is given in the file </w:t>
      </w:r>
      <w:r w:rsidR="007006A0" w:rsidRPr="007006A0">
        <w:rPr>
          <w:rFonts w:asciiTheme="minorHAnsi" w:eastAsiaTheme="minorHAnsi" w:hAnsiTheme="minorHAnsi" w:cstheme="minorHAnsi"/>
          <w:color w:val="575757"/>
          <w:sz w:val="22"/>
          <w:szCs w:val="22"/>
        </w:rPr>
        <w:t>P06_71.xlsx</w:t>
      </w:r>
      <w:r w:rsidR="007006A0" w:rsidRPr="007006A0">
        <w:rPr>
          <w:rFonts w:asciiTheme="minorHAnsi" w:eastAsiaTheme="minorHAnsi" w:hAnsiTheme="minorHAnsi" w:cstheme="minorHAnsi"/>
          <w:color w:val="575757"/>
          <w:sz w:val="22"/>
          <w:szCs w:val="22"/>
          <w:shd w:val="clear" w:color="auto" w:fill="FFFFFF"/>
        </w:rPr>
        <w:t>. Determine how to minimize the annual cost of conducting out-of-state audits.</w:t>
      </w:r>
    </w:p>
    <w:p w14:paraId="7AA9E5E3" w14:textId="5C551F24" w:rsidR="00614196" w:rsidRDefault="00AF78E1"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object w:dxaOrig="1504" w:dyaOrig="982" w14:anchorId="7CD96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8" o:title=""/>
          </v:shape>
          <o:OLEObject Type="Embed" ProgID="Excel.Sheet.12" ShapeID="_x0000_i1025" DrawAspect="Icon" ObjectID="_1614945167" r:id="rId9"/>
        </w:object>
      </w:r>
      <w:r w:rsidRPr="00AF78E1">
        <w:rPr>
          <w:rFonts w:eastAsiaTheme="minorHAnsi"/>
          <w:noProof/>
        </w:rPr>
        <w:drawing>
          <wp:inline distT="0" distB="0" distL="0" distR="0" wp14:anchorId="41130478" wp14:editId="4727C8F4">
            <wp:extent cx="3797300" cy="927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300" cy="927100"/>
                    </a:xfrm>
                    <a:prstGeom prst="rect">
                      <a:avLst/>
                    </a:prstGeom>
                    <a:noFill/>
                    <a:ln>
                      <a:noFill/>
                    </a:ln>
                  </pic:spPr>
                </pic:pic>
              </a:graphicData>
            </a:graphic>
          </wp:inline>
        </w:drawing>
      </w:r>
    </w:p>
    <w:p w14:paraId="0B09F852" w14:textId="77777777" w:rsidR="00614196" w:rsidRDefault="00614196"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p>
    <w:p w14:paraId="67B322FA" w14:textId="767D88EB"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48FA8D5E" w14:textId="72DFEE9E" w:rsidR="00DD6728" w:rsidRPr="00DD6728" w:rsidRDefault="00DD6728" w:rsidP="006B3A70">
      <w:pPr>
        <w:pStyle w:val="NormalWeb"/>
        <w:shd w:val="clear" w:color="auto" w:fill="FFFFFF"/>
        <w:spacing w:before="0" w:beforeAutospacing="0" w:after="225"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This is like Easting house problem. We must decide on the city, whether to use it as a base for auditor or not and decide on the regions covered by auditor based of a particular city.</w:t>
      </w: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16F0D546" w:rsidR="00DC2722" w:rsidRPr="00B0596E"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1,2,3,4  </m:t>
          </m:r>
          <m:d>
            <m:dPr>
              <m:ctrlPr>
                <w:rPr>
                  <w:rFonts w:ascii="Cambria Math" w:hAnsi="Cambria Math"/>
                </w:rPr>
              </m:ctrlPr>
            </m:dPr>
            <m:e>
              <m:r>
                <m:rPr>
                  <m:sty m:val="p"/>
                </m:rPr>
                <w:rPr>
                  <w:rFonts w:ascii="Cambria Math" w:hAnsi="Cambria Math"/>
                </w:rPr>
                <m:t xml:space="preserve"> </m:t>
              </m:r>
              <m:r>
                <w:rPr>
                  <w:rFonts w:ascii="Cambria Math" w:hAnsi="Cambria Math"/>
                </w:rPr>
                <m:t>i: Index for cities {NY,Chicago,LA,Atlanta</m:t>
              </m:r>
              <m:r>
                <w:rPr>
                  <w:rFonts w:ascii="Cambria Math" w:hAnsi="Cambria Math"/>
                </w:rPr>
                <m:t>}</m:t>
              </m:r>
            </m:e>
          </m:d>
        </m:oMath>
      </m:oMathPara>
      <w:bookmarkStart w:id="1" w:name="_GoBack"/>
      <w:bookmarkEnd w:id="1"/>
    </w:p>
    <w:p w14:paraId="5AFF9DE4" w14:textId="1B55BA50" w:rsidR="00B0596E" w:rsidRPr="00802876" w:rsidRDefault="00B0596E" w:rsidP="00D136F1">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1,2,3,4  </m:t>
          </m:r>
          <m:d>
            <m:dPr>
              <m:ctrlPr>
                <w:rPr>
                  <w:rFonts w:ascii="Cambria Math" w:hAnsi="Cambria Math"/>
                </w:rPr>
              </m:ctrlPr>
            </m:dPr>
            <m:e>
              <m:r>
                <m:rPr>
                  <m:sty m:val="p"/>
                </m:rPr>
                <w:rPr>
                  <w:rFonts w:ascii="Cambria Math" w:hAnsi="Cambria Math"/>
                </w:rPr>
                <m:t xml:space="preserve"> </m:t>
              </m:r>
              <m:r>
                <w:rPr>
                  <w:rFonts w:ascii="Cambria Math" w:hAnsi="Cambria Math"/>
                </w:rPr>
                <m:t>i: Index for regions {northeast,midwest, west,south</m:t>
              </m:r>
              <m:r>
                <w:rPr>
                  <w:rFonts w:ascii="Cambria Math" w:hAnsi="Cambria Math"/>
                </w:rPr>
                <m:t>}</m:t>
              </m:r>
              <m:r>
                <w:rPr>
                  <w:rFonts w:ascii="Cambria Math" w:hAnsi="Cambria Math"/>
                </w:rPr>
                <m:t xml:space="preserve"> </m:t>
              </m:r>
            </m:e>
          </m:d>
        </m:oMath>
      </m:oMathPara>
    </w:p>
    <w:p w14:paraId="35C618BD" w14:textId="5006B2B8" w:rsidR="0033687C" w:rsidRPr="00DA4659" w:rsidRDefault="00AE412C" w:rsidP="004C3811">
      <w:pPr>
        <w:pStyle w:val="NoSpacing"/>
        <w:rPr>
          <w:rFonts w:ascii="Cambria Math" w:hAnsi="Cambria Math"/>
        </w:rPr>
      </w:pPr>
      <m:oMath>
        <m:r>
          <w:rPr>
            <w:rFonts w:ascii="Cambria Math" w:hAnsi="Cambria Math"/>
          </w:rPr>
          <m:t>F   :      Annual cost for basing auditors , $100,000</m:t>
        </m:r>
      </m:oMath>
      <w:r w:rsidR="00DA4659">
        <w:rPr>
          <w:rFonts w:ascii="Cambria Math" w:hAnsi="Cambria Math"/>
        </w:rPr>
        <w:t xml:space="preserve">   </w:t>
      </w:r>
    </w:p>
    <w:p w14:paraId="79805F2A" w14:textId="1A702656" w:rsidR="00DA4659" w:rsidRPr="00FD0F1F" w:rsidRDefault="005B6C8F" w:rsidP="004C3811">
      <w:pPr>
        <w:pStyle w:val="NoSpacing"/>
        <w:rPr>
          <w:rFonts w:ascii="Cambria Math" w:eastAsiaTheme="minorEastAsia" w:hAnsi="Cambria Math"/>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ij</m:t>
              </m:r>
            </m:sub>
          </m:sSub>
          <m:r>
            <w:rPr>
              <w:rFonts w:ascii="Cambria Math" w:hAnsi="Cambria Math"/>
            </w:rPr>
            <m:t xml:space="preserve">   :    Cost for sending an auditor based out of city i to region j </m:t>
          </m:r>
        </m:oMath>
      </m:oMathPara>
    </w:p>
    <w:p w14:paraId="468735BD" w14:textId="33038F95" w:rsidR="00A16025" w:rsidRPr="000551A9" w:rsidRDefault="005B6C8F" w:rsidP="004C381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    Minimum trips audiotrs must take in each region j</m:t>
          </m:r>
        </m:oMath>
      </m:oMathPara>
    </w:p>
    <w:p w14:paraId="30EF2B01" w14:textId="77777777" w:rsidR="00A16025" w:rsidRDefault="00A16025" w:rsidP="004C3811">
      <w:pPr>
        <w:pStyle w:val="NoSpacing"/>
        <w:rPr>
          <w:rFonts w:cstheme="minorHAnsi"/>
          <w:i/>
          <w:color w:val="00B0F0"/>
          <w:u w:val="single"/>
          <w:shd w:val="clear" w:color="auto" w:fill="FFFFFF"/>
        </w:rPr>
      </w:pPr>
    </w:p>
    <w:p w14:paraId="51522C0E" w14:textId="413BDF37"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4BE16D94" w:rsidR="00D136F1" w:rsidRPr="006D50BB" w:rsidRDefault="005B6C8F"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Decision on whether auditors are based out of city i</m:t>
          </m:r>
        </m:oMath>
      </m:oMathPara>
    </w:p>
    <w:p w14:paraId="25744ADB" w14:textId="35188B3E" w:rsidR="00FD0F1F" w:rsidRPr="006D50BB" w:rsidRDefault="005B6C8F" w:rsidP="00FD0F1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 xml:space="preserve"> :</m:t>
          </m:r>
          <m:r>
            <w:rPr>
              <w:rFonts w:ascii="Cambria Math" w:hAnsi="Cambria Math"/>
            </w:rPr>
            <m:t>Decision on whether auditor based out of city i travelled to region j</m:t>
          </m:r>
        </m:oMath>
      </m:oMathPara>
    </w:p>
    <w:p w14:paraId="2042E445" w14:textId="77777777" w:rsidR="00A16025" w:rsidRDefault="00A16025" w:rsidP="00314901">
      <w:pPr>
        <w:rPr>
          <w:rFonts w:cstheme="minorHAnsi"/>
          <w:i/>
          <w:color w:val="00B0F0"/>
          <w:u w:val="single"/>
          <w:shd w:val="clear" w:color="auto" w:fill="FFFFFF"/>
        </w:rPr>
      </w:pPr>
    </w:p>
    <w:p w14:paraId="56333EF4" w14:textId="59DA2178"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1E599FBB"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Minimize total  cost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4</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e>
                  </m:d>
                </m:e>
              </m:nary>
            </m:e>
          </m:nary>
          <m:r>
            <w:rPr>
              <w:rFonts w:ascii="Cambria Math" w:hAnsi="Cambria Math"/>
            </w:rPr>
            <m:t xml:space="preserve"> </m:t>
          </m:r>
        </m:oMath>
      </m:oMathPara>
    </w:p>
    <w:p w14:paraId="22F82947" w14:textId="77777777" w:rsidR="00FD0F1F" w:rsidRDefault="00FD0F1F" w:rsidP="00D136F1">
      <w:pPr>
        <w:rPr>
          <w:rFonts w:cstheme="minorHAnsi"/>
          <w:i/>
          <w:color w:val="00B0F0"/>
          <w:u w:val="single"/>
          <w:shd w:val="clear" w:color="auto" w:fill="FFFFFF"/>
        </w:rPr>
      </w:pPr>
    </w:p>
    <w:p w14:paraId="55BDD79B" w14:textId="1B90F448"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F9EC1E1" w14:textId="1DEE2E45" w:rsidR="00174359" w:rsidRPr="00697D91" w:rsidRDefault="005B6C8F" w:rsidP="00174359">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y</m:t>
                  </m:r>
                </m:e>
                <m:sub>
                  <m:r>
                    <w:rPr>
                      <w:rFonts w:ascii="Cambria Math" w:hAnsi="Cambria Math"/>
                    </w:rPr>
                    <m:t>ij</m:t>
                  </m:r>
                </m:sub>
              </m:sSub>
            </m:e>
          </m:nary>
          <m:r>
            <m:rPr>
              <m:sty m:val="p"/>
            </m:rPr>
            <w:rPr>
              <w:rFonts w:ascii="Cambria Math" w:hAnsi="Cambria Math"/>
            </w:rPr>
            <m:t>≥</m:t>
          </m:r>
          <m:r>
            <w:rPr>
              <w:rFonts w:ascii="Cambria Math" w:hAnsi="Cambria Math"/>
            </w:rPr>
            <m:t>1</m:t>
          </m:r>
          <m:r>
            <m:rPr>
              <m:sty m:val="p"/>
            </m:rPr>
            <w:rPr>
              <w:rFonts w:ascii="Cambria Math" w:hAnsi="Cambria Math"/>
            </w:rPr>
            <m:t xml:space="preserve">  ;</m:t>
          </m:r>
          <m:r>
            <w:rPr>
              <w:rFonts w:ascii="Cambria Math" w:hAnsi="Cambria Math"/>
            </w:rPr>
            <m:t>For j</m:t>
          </m:r>
          <m:r>
            <m:rPr>
              <m:sty m:val="p"/>
            </m:rPr>
            <w:rPr>
              <w:rFonts w:ascii="Cambria Math" w:hAnsi="Cambria Math"/>
            </w:rPr>
            <m:t xml:space="preserve"> ϵ </m:t>
          </m:r>
          <m:d>
            <m:dPr>
              <m:begChr m:val="{"/>
              <m:endChr m:val="}"/>
              <m:ctrlPr>
                <w:rPr>
                  <w:rFonts w:ascii="Cambria Math" w:hAnsi="Cambria Math"/>
                </w:rPr>
              </m:ctrlPr>
            </m:dPr>
            <m:e>
              <m:r>
                <m:rPr>
                  <m:sty m:val="p"/>
                </m:rPr>
                <w:rPr>
                  <w:rFonts w:ascii="Cambria Math" w:hAnsi="Cambria Math"/>
                </w:rPr>
                <m:t>1,2,3,4</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Region constraint </m:t>
          </m:r>
        </m:oMath>
      </m:oMathPara>
    </w:p>
    <w:p w14:paraId="6475B472" w14:textId="77777777" w:rsidR="00697D91" w:rsidRPr="006D50BB" w:rsidRDefault="00697D91" w:rsidP="00174359">
      <w:pPr>
        <w:pStyle w:val="NoSpacing"/>
        <w:rPr>
          <w:rFonts w:eastAsiaTheme="minorEastAsia"/>
        </w:rPr>
      </w:pPr>
    </w:p>
    <w:p w14:paraId="3911EC30" w14:textId="0012F5B8" w:rsidR="00174359" w:rsidRPr="000551A9" w:rsidRDefault="008D4F1D" w:rsidP="007D673A">
      <w:pPr>
        <w:pStyle w:val="NoSpacing"/>
        <w:rPr>
          <w:rFonts w:eastAsiaTheme="minorEastAsia"/>
        </w:rPr>
      </w:pPr>
      <m:oMathPara>
        <m:oMathParaPr>
          <m:jc m:val="left"/>
        </m:oMathParaPr>
        <m:oMath>
          <m:r>
            <m:rPr>
              <m:sty m:val="p"/>
            </m:rPr>
            <w:rPr>
              <w:rFonts w:ascii="Cambria Math" w:hAnsi="Cambria Math"/>
            </w:rPr>
            <w:lastRenderedPageBreak/>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&amp; </m:t>
          </m:r>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 xml:space="preserve"> ϵ</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Binary Constraint</m:t>
          </m:r>
        </m:oMath>
      </m:oMathPara>
    </w:p>
    <w:p w14:paraId="05BF1409" w14:textId="77777777" w:rsidR="004A3BD8" w:rsidRPr="00357ECE" w:rsidRDefault="004A3BD8" w:rsidP="00D136F1">
      <w:pPr>
        <w:pStyle w:val="NoSpacing"/>
        <w:rPr>
          <w:rFonts w:eastAsiaTheme="minorEastAsia"/>
        </w:rPr>
      </w:pPr>
    </w:p>
    <w:p w14:paraId="3A0205F7" w14:textId="4610DA45" w:rsidR="004A3BD8" w:rsidRPr="000551A9" w:rsidRDefault="005B6C8F" w:rsidP="004A3BD8">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y</m:t>
                  </m:r>
                </m:e>
                <m:sub>
                  <m:r>
                    <w:rPr>
                      <w:rFonts w:ascii="Cambria Math" w:hAnsi="Cambria Math"/>
                    </w:rPr>
                    <m:t>ij</m:t>
                  </m:r>
                </m:sub>
              </m:sSub>
            </m:e>
          </m:nary>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;For i</m:t>
          </m:r>
          <m:r>
            <m:rPr>
              <m:sty m:val="p"/>
            </m:rPr>
            <w:rPr>
              <w:rFonts w:ascii="Cambria Math" w:hAnsi="Cambria Math"/>
            </w:rPr>
            <m:t xml:space="preserve"> ϵ </m:t>
          </m:r>
          <m:d>
            <m:dPr>
              <m:begChr m:val="{"/>
              <m:endChr m:val="}"/>
              <m:ctrlPr>
                <w:rPr>
                  <w:rFonts w:ascii="Cambria Math" w:hAnsi="Cambria Math"/>
                </w:rPr>
              </m:ctrlPr>
            </m:dPr>
            <m:e>
              <m:r>
                <m:rPr>
                  <m:sty m:val="p"/>
                </m:rPr>
                <w:rPr>
                  <w:rFonts w:ascii="Cambria Math" w:hAnsi="Cambria Math"/>
                </w:rPr>
                <m:t>1,2,3,4</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City constraint where A=4 (Number of regions)</m:t>
          </m:r>
        </m:oMath>
      </m:oMathPara>
    </w:p>
    <w:p w14:paraId="4122553B" w14:textId="5571C0FE" w:rsidR="000D6398" w:rsidRDefault="000D6398" w:rsidP="004A3BD8">
      <w:pPr>
        <w:pStyle w:val="NoSpacing"/>
        <w:rPr>
          <w:rFonts w:eastAsiaTheme="minorEastAsia"/>
        </w:rPr>
      </w:pPr>
    </w:p>
    <w:p w14:paraId="0805A565" w14:textId="25170405" w:rsidR="00B87170" w:rsidRDefault="00422C8A" w:rsidP="004A3BD8">
      <w:pPr>
        <w:pStyle w:val="NoSpacing"/>
        <w:rPr>
          <w:rFonts w:eastAsiaTheme="minorEastAsia"/>
        </w:rPr>
      </w:pPr>
      <w:r>
        <w:rPr>
          <w:rFonts w:eastAsiaTheme="minorEastAsia"/>
        </w:rPr>
        <w:t>Constraint 1 will make sure that company is providing services to all the regions.</w:t>
      </w:r>
    </w:p>
    <w:p w14:paraId="4AF72751" w14:textId="0BF7357A" w:rsidR="000D6398" w:rsidRPr="000551A9" w:rsidRDefault="000D6398" w:rsidP="004A3BD8">
      <w:pPr>
        <w:pStyle w:val="NoSpacing"/>
        <w:rPr>
          <w:rFonts w:eastAsiaTheme="minorEastAsia"/>
        </w:rPr>
      </w:pPr>
      <w:r>
        <w:rPr>
          <w:rFonts w:eastAsiaTheme="minorEastAsia"/>
        </w:rPr>
        <w:t xml:space="preserve">In constraint 3, if we don’t multiply the decision </w:t>
      </w:r>
      <w:r w:rsidR="00F8705C">
        <w:rPr>
          <w:rFonts w:eastAsiaTheme="minorEastAsia"/>
        </w:rPr>
        <w:t>variable with constant on</w:t>
      </w:r>
      <w:r>
        <w:rPr>
          <w:rFonts w:eastAsiaTheme="minorEastAsia"/>
        </w:rPr>
        <w:t xml:space="preserve"> R.H.S of the constraint, as it is a minimization problem, our optimal solution will make sure that there is no Annual fixed cost by consider all the binary decisions as Zero (0)</w:t>
      </w:r>
      <w:r w:rsidR="00F8705C">
        <w:rPr>
          <w:rFonts w:eastAsiaTheme="minorEastAsia"/>
        </w:rPr>
        <w:t>.</w:t>
      </w:r>
    </w:p>
    <w:p w14:paraId="6D7BF8D4" w14:textId="77777777" w:rsidR="00B24FCB" w:rsidRDefault="00B24FCB" w:rsidP="005D5BC4">
      <w:pPr>
        <w:pStyle w:val="NoSpacing"/>
        <w:rPr>
          <w:rFonts w:cstheme="minorHAnsi"/>
          <w:i/>
          <w:color w:val="00B0F0"/>
          <w:u w:val="single"/>
          <w:shd w:val="clear" w:color="auto" w:fill="FFFFFF"/>
        </w:rPr>
      </w:pPr>
    </w:p>
    <w:p w14:paraId="0C0B2C37" w14:textId="1B803B2E"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216B187F" w14:textId="77777777" w:rsidR="00CE629B" w:rsidRDefault="00CE629B" w:rsidP="00A71F0B">
      <w:pPr>
        <w:pStyle w:val="NoSpacing"/>
        <w:rPr>
          <w:rFonts w:eastAsiaTheme="minorEastAsia"/>
        </w:rPr>
      </w:pPr>
    </w:p>
    <w:p w14:paraId="6022D3D4" w14:textId="7BE41E07" w:rsidR="00A710DE" w:rsidRDefault="00422C8A" w:rsidP="00A71F0B">
      <w:pPr>
        <w:pStyle w:val="NoSpacing"/>
        <w:rPr>
          <w:rFonts w:eastAsiaTheme="minorEastAsia"/>
        </w:rPr>
      </w:pPr>
      <w:r>
        <w:rPr>
          <w:rFonts w:eastAsiaTheme="minorEastAsia"/>
        </w:rPr>
        <w:object w:dxaOrig="1504" w:dyaOrig="982" w14:anchorId="7960DE36">
          <v:shape id="_x0000_i1026" type="#_x0000_t75" style="width:75pt;height:49pt" o:ole="">
            <v:imagedata r:id="rId11" o:title=""/>
          </v:shape>
          <o:OLEObject Type="Embed" ProgID="Excel.Sheet.12" ShapeID="_x0000_i1026" DrawAspect="Icon" ObjectID="_1614945168" r:id="rId12"/>
        </w:object>
      </w:r>
    </w:p>
    <w:p w14:paraId="5BD94987" w14:textId="19451160" w:rsidR="00A710DE" w:rsidRDefault="00A710DE" w:rsidP="00A71F0B">
      <w:pPr>
        <w:pStyle w:val="NoSpacing"/>
        <w:rPr>
          <w:rFonts w:eastAsiaTheme="minorEastAsia"/>
        </w:rPr>
      </w:pPr>
    </w:p>
    <w:p w14:paraId="09B84AB3" w14:textId="04CC211E" w:rsidR="00CE629B" w:rsidRDefault="00CE629B" w:rsidP="00A71F0B">
      <w:pPr>
        <w:pStyle w:val="NoSpacing"/>
        <w:rPr>
          <w:rFonts w:eastAsiaTheme="minorEastAsia"/>
        </w:rPr>
      </w:pPr>
      <w:r w:rsidRPr="00CE629B">
        <w:rPr>
          <w:noProof/>
        </w:rPr>
        <w:drawing>
          <wp:inline distT="0" distB="0" distL="0" distR="0" wp14:anchorId="3E5C977F" wp14:editId="4823B7DF">
            <wp:extent cx="6580127" cy="2298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86233" cy="2300833"/>
                    </a:xfrm>
                    <a:prstGeom prst="rect">
                      <a:avLst/>
                    </a:prstGeom>
                    <a:noFill/>
                    <a:ln>
                      <a:noFill/>
                    </a:ln>
                  </pic:spPr>
                </pic:pic>
              </a:graphicData>
            </a:graphic>
          </wp:inline>
        </w:drawing>
      </w:r>
    </w:p>
    <w:p w14:paraId="25B4C45C" w14:textId="6C117AB6" w:rsidR="00D221E2" w:rsidRDefault="00D221E2" w:rsidP="00E25AE8">
      <w:pPr>
        <w:rPr>
          <w:rFonts w:eastAsiaTheme="minorEastAsia"/>
        </w:rPr>
      </w:pPr>
    </w:p>
    <w:p w14:paraId="39E04527" w14:textId="759D8FB3" w:rsidR="008A4CC2" w:rsidRPr="009B5B3D" w:rsidRDefault="008A4CC2" w:rsidP="00E25AE8">
      <w:pPr>
        <w:rPr>
          <w:rFonts w:eastAsiaTheme="minorEastAsia"/>
        </w:rPr>
      </w:pPr>
    </w:p>
    <w:sectPr w:rsidR="008A4CC2" w:rsidRPr="009B5B3D" w:rsidSect="007F716C">
      <w:headerReference w:type="defaul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82F9C" w14:textId="77777777" w:rsidR="005B6C8F" w:rsidRDefault="005B6C8F" w:rsidP="007F716C">
      <w:pPr>
        <w:spacing w:after="0" w:line="240" w:lineRule="auto"/>
      </w:pPr>
      <w:r>
        <w:separator/>
      </w:r>
    </w:p>
  </w:endnote>
  <w:endnote w:type="continuationSeparator" w:id="0">
    <w:p w14:paraId="2BC99BE9" w14:textId="77777777" w:rsidR="005B6C8F" w:rsidRDefault="005B6C8F"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93ECF" w14:textId="77777777" w:rsidR="005B6C8F" w:rsidRDefault="005B6C8F" w:rsidP="007F716C">
      <w:pPr>
        <w:spacing w:after="0" w:line="240" w:lineRule="auto"/>
      </w:pPr>
      <w:r>
        <w:separator/>
      </w:r>
    </w:p>
  </w:footnote>
  <w:footnote w:type="continuationSeparator" w:id="0">
    <w:p w14:paraId="5DDE048F" w14:textId="77777777" w:rsidR="005B6C8F" w:rsidRDefault="005B6C8F"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401F6264" w:rsidR="00397A64" w:rsidRPr="001132AE" w:rsidRDefault="007006A0"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06A0">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Covering [Fitzsimmons and Allen]</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51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401F6264" w:rsidR="00397A64" w:rsidRPr="001132AE" w:rsidRDefault="007006A0"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06A0">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Covering [Fitzsimmons and Allen]</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51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818BC"/>
    <w:multiLevelType w:val="multilevel"/>
    <w:tmpl w:val="353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51A9"/>
    <w:rsid w:val="00056294"/>
    <w:rsid w:val="00072B05"/>
    <w:rsid w:val="000755E2"/>
    <w:rsid w:val="00076858"/>
    <w:rsid w:val="000807AC"/>
    <w:rsid w:val="00082E8B"/>
    <w:rsid w:val="00091FD3"/>
    <w:rsid w:val="00092CDD"/>
    <w:rsid w:val="000C7465"/>
    <w:rsid w:val="000D4FFD"/>
    <w:rsid w:val="000D6398"/>
    <w:rsid w:val="000E4EBD"/>
    <w:rsid w:val="000F0194"/>
    <w:rsid w:val="00106CA5"/>
    <w:rsid w:val="001132AE"/>
    <w:rsid w:val="00114806"/>
    <w:rsid w:val="0013199F"/>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1A13"/>
    <w:rsid w:val="001C3E72"/>
    <w:rsid w:val="001D0611"/>
    <w:rsid w:val="001D5618"/>
    <w:rsid w:val="001D6059"/>
    <w:rsid w:val="001E2F0D"/>
    <w:rsid w:val="001E3CA9"/>
    <w:rsid w:val="001E6060"/>
    <w:rsid w:val="001E7E3D"/>
    <w:rsid w:val="001F5DC6"/>
    <w:rsid w:val="00204A2A"/>
    <w:rsid w:val="00214FCE"/>
    <w:rsid w:val="0024035C"/>
    <w:rsid w:val="00241DF7"/>
    <w:rsid w:val="00244CA9"/>
    <w:rsid w:val="0024507F"/>
    <w:rsid w:val="00246423"/>
    <w:rsid w:val="0025144D"/>
    <w:rsid w:val="00261879"/>
    <w:rsid w:val="0027052E"/>
    <w:rsid w:val="0028259C"/>
    <w:rsid w:val="002826F8"/>
    <w:rsid w:val="002B2EE0"/>
    <w:rsid w:val="002B4250"/>
    <w:rsid w:val="002B4A44"/>
    <w:rsid w:val="002B6917"/>
    <w:rsid w:val="002C09B3"/>
    <w:rsid w:val="002C5885"/>
    <w:rsid w:val="002D1593"/>
    <w:rsid w:val="003023D6"/>
    <w:rsid w:val="003075CE"/>
    <w:rsid w:val="00314901"/>
    <w:rsid w:val="00316FF1"/>
    <w:rsid w:val="003222DD"/>
    <w:rsid w:val="00326FA9"/>
    <w:rsid w:val="00330F36"/>
    <w:rsid w:val="00331AA2"/>
    <w:rsid w:val="0033687C"/>
    <w:rsid w:val="00343570"/>
    <w:rsid w:val="00350AB0"/>
    <w:rsid w:val="00356925"/>
    <w:rsid w:val="00357ECE"/>
    <w:rsid w:val="00397A64"/>
    <w:rsid w:val="003A0A4E"/>
    <w:rsid w:val="003B6E62"/>
    <w:rsid w:val="003D338D"/>
    <w:rsid w:val="003E02C7"/>
    <w:rsid w:val="003F064C"/>
    <w:rsid w:val="003F38D7"/>
    <w:rsid w:val="0040283F"/>
    <w:rsid w:val="00407C4D"/>
    <w:rsid w:val="004107E8"/>
    <w:rsid w:val="004109BD"/>
    <w:rsid w:val="004132A4"/>
    <w:rsid w:val="00422C8A"/>
    <w:rsid w:val="00424E7C"/>
    <w:rsid w:val="004321FF"/>
    <w:rsid w:val="004342C8"/>
    <w:rsid w:val="00441812"/>
    <w:rsid w:val="00457884"/>
    <w:rsid w:val="00460108"/>
    <w:rsid w:val="00466920"/>
    <w:rsid w:val="00470ED7"/>
    <w:rsid w:val="0047456A"/>
    <w:rsid w:val="00484195"/>
    <w:rsid w:val="00492001"/>
    <w:rsid w:val="00492600"/>
    <w:rsid w:val="00495D9D"/>
    <w:rsid w:val="004A233D"/>
    <w:rsid w:val="004A3BD8"/>
    <w:rsid w:val="004B498E"/>
    <w:rsid w:val="004C3811"/>
    <w:rsid w:val="004D143E"/>
    <w:rsid w:val="004D28EB"/>
    <w:rsid w:val="004E2D25"/>
    <w:rsid w:val="004F2B9B"/>
    <w:rsid w:val="004F55C7"/>
    <w:rsid w:val="00502303"/>
    <w:rsid w:val="0050377E"/>
    <w:rsid w:val="00503B62"/>
    <w:rsid w:val="00512613"/>
    <w:rsid w:val="005156BF"/>
    <w:rsid w:val="0052272B"/>
    <w:rsid w:val="00532368"/>
    <w:rsid w:val="0056170E"/>
    <w:rsid w:val="00594791"/>
    <w:rsid w:val="005B416A"/>
    <w:rsid w:val="005B6C8F"/>
    <w:rsid w:val="005C56C9"/>
    <w:rsid w:val="005D1368"/>
    <w:rsid w:val="005D4921"/>
    <w:rsid w:val="005D4E08"/>
    <w:rsid w:val="005D5BC4"/>
    <w:rsid w:val="005D7597"/>
    <w:rsid w:val="005E217B"/>
    <w:rsid w:val="005E4C36"/>
    <w:rsid w:val="00614196"/>
    <w:rsid w:val="00621842"/>
    <w:rsid w:val="00622598"/>
    <w:rsid w:val="00632353"/>
    <w:rsid w:val="0063305D"/>
    <w:rsid w:val="006440BB"/>
    <w:rsid w:val="00652F53"/>
    <w:rsid w:val="00671B63"/>
    <w:rsid w:val="00673C00"/>
    <w:rsid w:val="0068060A"/>
    <w:rsid w:val="00697D91"/>
    <w:rsid w:val="006A3ABA"/>
    <w:rsid w:val="006B3A70"/>
    <w:rsid w:val="006B4B46"/>
    <w:rsid w:val="006C4F8E"/>
    <w:rsid w:val="006D50BB"/>
    <w:rsid w:val="006D5211"/>
    <w:rsid w:val="006E69D1"/>
    <w:rsid w:val="006F69AB"/>
    <w:rsid w:val="007006A0"/>
    <w:rsid w:val="00707ADE"/>
    <w:rsid w:val="0071103F"/>
    <w:rsid w:val="00717E6B"/>
    <w:rsid w:val="00722367"/>
    <w:rsid w:val="00723A33"/>
    <w:rsid w:val="007354EE"/>
    <w:rsid w:val="0075081A"/>
    <w:rsid w:val="00753EAA"/>
    <w:rsid w:val="007566FE"/>
    <w:rsid w:val="0076381E"/>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653D6"/>
    <w:rsid w:val="008804FD"/>
    <w:rsid w:val="008A4CC2"/>
    <w:rsid w:val="008B2CB3"/>
    <w:rsid w:val="008C1E6F"/>
    <w:rsid w:val="008C7389"/>
    <w:rsid w:val="008D034F"/>
    <w:rsid w:val="008D4F1D"/>
    <w:rsid w:val="008D502C"/>
    <w:rsid w:val="008D563C"/>
    <w:rsid w:val="008D63C2"/>
    <w:rsid w:val="008F2C4F"/>
    <w:rsid w:val="0090225F"/>
    <w:rsid w:val="00907761"/>
    <w:rsid w:val="0091310B"/>
    <w:rsid w:val="0091443D"/>
    <w:rsid w:val="0091648E"/>
    <w:rsid w:val="009308FC"/>
    <w:rsid w:val="00936FEB"/>
    <w:rsid w:val="00945152"/>
    <w:rsid w:val="00962E79"/>
    <w:rsid w:val="00971884"/>
    <w:rsid w:val="00981D92"/>
    <w:rsid w:val="00982726"/>
    <w:rsid w:val="00982F21"/>
    <w:rsid w:val="00993B50"/>
    <w:rsid w:val="009A03BF"/>
    <w:rsid w:val="009B4A4F"/>
    <w:rsid w:val="009B5B3D"/>
    <w:rsid w:val="009C43EA"/>
    <w:rsid w:val="009C5C99"/>
    <w:rsid w:val="009E4460"/>
    <w:rsid w:val="009F33CA"/>
    <w:rsid w:val="009F7CAA"/>
    <w:rsid w:val="009F7CDF"/>
    <w:rsid w:val="00A01693"/>
    <w:rsid w:val="00A047F0"/>
    <w:rsid w:val="00A10B48"/>
    <w:rsid w:val="00A14B7C"/>
    <w:rsid w:val="00A16025"/>
    <w:rsid w:val="00A3702F"/>
    <w:rsid w:val="00A50B1E"/>
    <w:rsid w:val="00A526E1"/>
    <w:rsid w:val="00A5295F"/>
    <w:rsid w:val="00A52F3E"/>
    <w:rsid w:val="00A55996"/>
    <w:rsid w:val="00A64CF0"/>
    <w:rsid w:val="00A710DE"/>
    <w:rsid w:val="00A71F0B"/>
    <w:rsid w:val="00A8367F"/>
    <w:rsid w:val="00AB022D"/>
    <w:rsid w:val="00AB1DF3"/>
    <w:rsid w:val="00AB2DDC"/>
    <w:rsid w:val="00AB2F91"/>
    <w:rsid w:val="00AE24D4"/>
    <w:rsid w:val="00AE412C"/>
    <w:rsid w:val="00AE5855"/>
    <w:rsid w:val="00AE58B3"/>
    <w:rsid w:val="00AF4E2C"/>
    <w:rsid w:val="00AF5D4C"/>
    <w:rsid w:val="00AF78E1"/>
    <w:rsid w:val="00B0596E"/>
    <w:rsid w:val="00B11E6D"/>
    <w:rsid w:val="00B20164"/>
    <w:rsid w:val="00B228CD"/>
    <w:rsid w:val="00B22B01"/>
    <w:rsid w:val="00B24FCB"/>
    <w:rsid w:val="00B24FD0"/>
    <w:rsid w:val="00B35598"/>
    <w:rsid w:val="00B403BD"/>
    <w:rsid w:val="00B440BF"/>
    <w:rsid w:val="00B52861"/>
    <w:rsid w:val="00B60507"/>
    <w:rsid w:val="00B727D3"/>
    <w:rsid w:val="00B87170"/>
    <w:rsid w:val="00B87C88"/>
    <w:rsid w:val="00B87D92"/>
    <w:rsid w:val="00B930B6"/>
    <w:rsid w:val="00B933C2"/>
    <w:rsid w:val="00B940D6"/>
    <w:rsid w:val="00BA42CB"/>
    <w:rsid w:val="00BA4AE7"/>
    <w:rsid w:val="00BA63A0"/>
    <w:rsid w:val="00BB07C1"/>
    <w:rsid w:val="00BC6EBE"/>
    <w:rsid w:val="00BD4A98"/>
    <w:rsid w:val="00BE13BB"/>
    <w:rsid w:val="00BE23CD"/>
    <w:rsid w:val="00BE3F7F"/>
    <w:rsid w:val="00BE4154"/>
    <w:rsid w:val="00BF5644"/>
    <w:rsid w:val="00C25D79"/>
    <w:rsid w:val="00C37D55"/>
    <w:rsid w:val="00C427A6"/>
    <w:rsid w:val="00C442C3"/>
    <w:rsid w:val="00C55AC4"/>
    <w:rsid w:val="00C677D1"/>
    <w:rsid w:val="00C705FF"/>
    <w:rsid w:val="00C70FCC"/>
    <w:rsid w:val="00C726AD"/>
    <w:rsid w:val="00C74B80"/>
    <w:rsid w:val="00C84318"/>
    <w:rsid w:val="00C85D78"/>
    <w:rsid w:val="00CA1994"/>
    <w:rsid w:val="00CA384E"/>
    <w:rsid w:val="00CB156F"/>
    <w:rsid w:val="00CB4D13"/>
    <w:rsid w:val="00CC69C0"/>
    <w:rsid w:val="00CE629B"/>
    <w:rsid w:val="00CF19F5"/>
    <w:rsid w:val="00CF3996"/>
    <w:rsid w:val="00D136F1"/>
    <w:rsid w:val="00D1794F"/>
    <w:rsid w:val="00D221E2"/>
    <w:rsid w:val="00D2462A"/>
    <w:rsid w:val="00D31E4C"/>
    <w:rsid w:val="00D57A6B"/>
    <w:rsid w:val="00D63D88"/>
    <w:rsid w:val="00D76B23"/>
    <w:rsid w:val="00D83B14"/>
    <w:rsid w:val="00D83E4C"/>
    <w:rsid w:val="00D9274A"/>
    <w:rsid w:val="00DA1635"/>
    <w:rsid w:val="00DA4659"/>
    <w:rsid w:val="00DB0182"/>
    <w:rsid w:val="00DC2722"/>
    <w:rsid w:val="00DD3E39"/>
    <w:rsid w:val="00DD543E"/>
    <w:rsid w:val="00DD6728"/>
    <w:rsid w:val="00DD7EF8"/>
    <w:rsid w:val="00DF7377"/>
    <w:rsid w:val="00E000EE"/>
    <w:rsid w:val="00E0527F"/>
    <w:rsid w:val="00E05C5D"/>
    <w:rsid w:val="00E25AE8"/>
    <w:rsid w:val="00E31886"/>
    <w:rsid w:val="00E52288"/>
    <w:rsid w:val="00E55369"/>
    <w:rsid w:val="00E635DD"/>
    <w:rsid w:val="00E63A9F"/>
    <w:rsid w:val="00E76B11"/>
    <w:rsid w:val="00E85145"/>
    <w:rsid w:val="00E910AC"/>
    <w:rsid w:val="00E9235A"/>
    <w:rsid w:val="00EB7FBC"/>
    <w:rsid w:val="00EC0913"/>
    <w:rsid w:val="00ED2859"/>
    <w:rsid w:val="00EE4341"/>
    <w:rsid w:val="00EF14A6"/>
    <w:rsid w:val="00F02090"/>
    <w:rsid w:val="00F032DD"/>
    <w:rsid w:val="00F06C8D"/>
    <w:rsid w:val="00F23A2F"/>
    <w:rsid w:val="00F25137"/>
    <w:rsid w:val="00F26DAE"/>
    <w:rsid w:val="00F27E14"/>
    <w:rsid w:val="00F32F5B"/>
    <w:rsid w:val="00F34987"/>
    <w:rsid w:val="00F61579"/>
    <w:rsid w:val="00F72093"/>
    <w:rsid w:val="00F7684E"/>
    <w:rsid w:val="00F81FA8"/>
    <w:rsid w:val="00F8442F"/>
    <w:rsid w:val="00F860DE"/>
    <w:rsid w:val="00F8705C"/>
    <w:rsid w:val="00FA4132"/>
    <w:rsid w:val="00FB08E2"/>
    <w:rsid w:val="00FB3276"/>
    <w:rsid w:val="00FC17A6"/>
    <w:rsid w:val="00FC75FA"/>
    <w:rsid w:val="00FD0F1F"/>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 w:type="character" w:styleId="PlaceholderText">
    <w:name w:val="Placeholder Text"/>
    <w:basedOn w:val="DefaultParagraphFont"/>
    <w:uiPriority w:val="99"/>
    <w:semiHidden/>
    <w:rsid w:val="00F87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00227631">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266624181">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561595">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497310814">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67611128">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0596212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003241273">
      <w:bodyDiv w:val="1"/>
      <w:marLeft w:val="0"/>
      <w:marRight w:val="0"/>
      <w:marTop w:val="0"/>
      <w:marBottom w:val="0"/>
      <w:divBdr>
        <w:top w:val="none" w:sz="0" w:space="0" w:color="auto"/>
        <w:left w:val="none" w:sz="0" w:space="0" w:color="auto"/>
        <w:bottom w:val="none" w:sz="0" w:space="0" w:color="auto"/>
        <w:right w:val="none" w:sz="0" w:space="0" w:color="auto"/>
      </w:divBdr>
    </w:div>
    <w:div w:id="1065180961">
      <w:bodyDiv w:val="1"/>
      <w:marLeft w:val="0"/>
      <w:marRight w:val="0"/>
      <w:marTop w:val="0"/>
      <w:marBottom w:val="0"/>
      <w:divBdr>
        <w:top w:val="none" w:sz="0" w:space="0" w:color="auto"/>
        <w:left w:val="none" w:sz="0" w:space="0" w:color="auto"/>
        <w:bottom w:val="none" w:sz="0" w:space="0" w:color="auto"/>
        <w:right w:val="none" w:sz="0" w:space="0" w:color="auto"/>
      </w:divBdr>
    </w:div>
    <w:div w:id="1150051955">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65117658">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2518256">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447037906">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782996682">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23223622">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 w:id="20593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4D85D-444D-4D76-ADA1-052EF9C5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2769</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415</cp:revision>
  <dcterms:created xsi:type="dcterms:W3CDTF">2018-10-13T21:51:00Z</dcterms:created>
  <dcterms:modified xsi:type="dcterms:W3CDTF">2019-03-24T22:06:00Z</dcterms:modified>
</cp:coreProperties>
</file>