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Report</w:t>
      </w:r>
    </w:p>
    <w:p>
      <w:r>
        <w:rPr>
          <w:b/>
        </w:rPr>
        <w:t xml:space="preserve">Executive summary: </w:t>
      </w:r>
      <w:r>
        <w:rPr>
          <w:i/>
        </w:rPr>
        <w:t xml:space="preserve">Document automation throughput improved </w:t>
      </w:r>
      <w:r>
        <w:rPr>
          <w:u w:val="single"/>
        </w:rPr>
        <w:t>18.4% quarter over quarter</w:t>
      </w:r>
      <w:r>
        <w:t xml:space="preserve"> while maintaining review accuracy above 99.2%.</w:t>
      </w:r>
    </w:p>
    <w:p>
      <w:r>
        <w:rPr>
          <w:color w:val="B42828"/>
        </w:rPr>
        <w:t>Risk indicator: manual exception volume increased in the APAC queue.</w:t>
      </w:r>
    </w:p>
    <w:p>
      <w:r>
        <w:drawing>
          <wp:inline xmlns:a="http://schemas.openxmlformats.org/drawingml/2006/main" xmlns:pic="http://schemas.openxmlformats.org/drawingml/2006/picture">
            <wp:extent cx="4754880" cy="6323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23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Synthetic invoice image used to verify embedded image rendering.</w:t>
      </w:r>
    </w:p>
    <w:p>
      <w:pPr>
        <w:pStyle w:val="Heading1"/>
      </w:pPr>
      <w:r>
        <w:t>Operational Highlights</w:t>
      </w:r>
    </w:p>
    <w:p>
      <w:pPr>
        <w:pStyle w:val="ListBullet"/>
      </w:pPr>
      <w:r>
        <w:t>Average extraction latency fell from 4.2 seconds to 2.9 seconds.</w:t>
      </w:r>
    </w:p>
    <w:p>
      <w:pPr>
        <w:pStyle w:val="ListBullet"/>
      </w:pPr>
      <w:r>
        <w:t>Reviewer acceptance rate stayed within the control band for three consecutive months.</w:t>
      </w:r>
    </w:p>
    <w:p>
      <w:pPr>
        <w:pStyle w:val="ListBullet"/>
      </w:pPr>
      <w:r>
        <w:t>The top exception categories were missing purchase order, tax mismatch, and low-confidence vendor name.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Quarterly Operations Report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