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60" w:line="279"/>
        <w:ind w:right="0" w:left="0"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Via U.S. Mail:</w:t>
      </w:r>
    </w:p>
    <w:p>
      <w:pPr>
        <w:spacing w:before="0" w:after="60" w:line="27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{{defendant}}</w:t>
      </w:r>
    </w:p>
    <w:p>
      <w:pPr>
        <w:spacing w:before="0" w:after="60" w:line="27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Attention: Human Resources Department</w:t>
      </w:r>
    </w:p>
    <w:p>
      <w:pPr>
        <w:spacing w:before="0" w:after="60" w:line="27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{{street_address}}</w:t>
      </w:r>
    </w:p>
    <w:p>
      <w:pPr>
        <w:spacing w:before="0" w:after="60" w:line="27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{{state_address}}</w:t>
      </w:r>
    </w:p>
    <w:p>
      <w:pPr>
        <w:spacing w:before="0" w:after="160" w:line="279"/>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160" w:line="279"/>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{{plaintiff_full_name}} </w:t>
      </w:r>
      <w:r>
        <w:rPr>
          <w:rFonts w:ascii="Times New Roman" w:hAnsi="Times New Roman" w:cs="Times New Roman" w:eastAsia="Times New Roman"/>
          <w:b/>
          <w:i/>
          <w:color w:val="auto"/>
          <w:spacing w:val="0"/>
          <w:position w:val="0"/>
          <w:sz w:val="24"/>
          <w:u w:val="single"/>
          <w:shd w:fill="auto" w:val="clear"/>
        </w:rPr>
        <w:t xml:space="preserve">v. </w:t>
      </w:r>
      <w:r>
        <w:rPr>
          <w:rFonts w:ascii="Times New Roman" w:hAnsi="Times New Roman" w:cs="Times New Roman" w:eastAsia="Times New Roman"/>
          <w:color w:val="auto"/>
          <w:spacing w:val="0"/>
          <w:position w:val="0"/>
          <w:sz w:val="24"/>
          <w:u w:val="single"/>
          <w:shd w:fill="auto" w:val="clear"/>
        </w:rPr>
        <w:t xml:space="preserve">{{defendant}}</w:t>
      </w:r>
    </w:p>
    <w:p>
      <w:pPr>
        <w:spacing w:before="240" w:after="24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correspondence is protected by California Evidence Code §1154 regarding settlement discussions. Please be advised that our firm represents {{plaintiff_full_name}} (“Plaintiff”) regarding the potential workplace-related claims outlined below against {{defendant}} (“Defendant”). Kindly direct all future correspondence and documentation to my attention and refrain from contacting our client directly, whether through your representatives or otherwise, concerning this matter. </w:t>
      </w:r>
    </w:p>
    <w:p>
      <w:pPr>
        <w:spacing w:before="240" w:after="24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Legal Corner Law Office has been retained to represent {{plaintiff_full_name}} ("Plaintiff") in {{pronoun}} claims against {{defendant}} ("Defendant") for: </w:t>
      </w:r>
    </w:p>
    <w:p>
      <w:pPr>
        <w:spacing w:before="240" w:after="24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{{clauses}}</w:t>
      </w:r>
    </w:p>
    <w:p>
      <w:pPr>
        <w:spacing w:before="240" w:after="24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color w:val="auto"/>
          <w:spacing w:val="0"/>
          <w:position w:val="0"/>
          <w:sz w:val="24"/>
          <w:u w:val="single"/>
          <w:shd w:fill="auto" w:val="clear"/>
        </w:rPr>
      </w:pPr>
      <w:r>
        <w:rPr>
          <w:rFonts w:ascii="Aptos" w:hAnsi="Aptos" w:cs="Aptos" w:eastAsia="Aptos"/>
          <w:color w:val="auto"/>
          <w:spacing w:val="0"/>
          <w:position w:val="0"/>
          <w:sz w:val="24"/>
          <w:shd w:fill="auto" w:val="clear"/>
        </w:rPr>
        <w:br/>
        <w:br/>
        <w:br/>
        <w:br/>
        <w:br/>
        <w:br/>
        <w:br/>
        <w:br/>
        <w:br/>
      </w:r>
      <w:r>
        <w:rPr>
          <w:rFonts w:ascii="Times New Roman" w:hAnsi="Times New Roman" w:cs="Times New Roman" w:eastAsia="Times New Roman"/>
          <w:b/>
          <w:color w:val="auto"/>
          <w:spacing w:val="0"/>
          <w:position w:val="0"/>
          <w:sz w:val="24"/>
          <w:u w:val="single"/>
          <w:shd w:fill="auto" w:val="clear"/>
        </w:rPr>
        <w:t xml:space="preserve">Statement of Facts</w:t>
      </w:r>
    </w:p>
    <w:p>
      <w:pPr>
        <w:spacing w:before="280" w:after="280" w:line="30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Defendant hired {{mr_ms_last_name}} on or around {{start_date}} as a {{job_title}}. {{mr_ms_last_name}} was compensated with an {{hourly_wage_annual_salary}} of ${{pay_rate}} and last worked at Defendant on {{end_date}}.</w:t>
      </w:r>
    </w:p>
    <w:p>
      <w:pPr>
        <w:spacing w:before="280" w:after="280" w:line="30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{{paragraphs_concerning_wrongful_terminations}}</w:t>
      </w:r>
    </w:p>
    <w:p>
      <w:pPr>
        <w:spacing w:before="280" w:after="280" w:line="30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{{paragraphs_concerning_labour_code_violations}}</w:t>
      </w:r>
    </w:p>
    <w:p>
      <w:pPr>
        <w:spacing w:before="280" w:after="280" w:line="30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detailed below, Defendant {{mr_ms_last_name}} is liable to for the following violations of California law.</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Labor Code § 98.6</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§98.6 states, "A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Section 2699, or has testified or is about to testify in a proceeding pursuant to that section, or because of the exercise by the employee or applicant for employment on behalf of himself, herself, or others of any rights afforded him or her."</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Labor Code § 1102.5</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establish a prima facie case of retaliation under § 1102.5(b), plaintiff must demonstrate that he or she engaged in a protected activity as set forth in § 1102.5, that the employer subjected him or her to an adverse employment action, and a causal link between the two. (McVeigh v. Recology San Francisco (2013) 213 Cal.App.4th443,468). A Plaintiff who successfully prosecutes for retaliation in violation of § 1102.5 may recover compensatory damages, including economic and emotional distress damages. (Gardenhire v. Housing Authority of the City of Los Angeles (2000) 85 Cal.App.4th 236,237, 240-241).</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Under Labor Code § 132(a)</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Labor Code §132(a) states, "Any employer who discharges, or threatens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Under Labor Code § 230(a)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Labor Code §230.8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Labor Code §6399.7</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Unsafe Working Conditions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Labor Code Section 6311 states, "No employee shall be laid off or discharged for refusing to perform work in the performance of which this code, including Section 6400,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California's Paid Sick Leave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per Labor Code §246, “An employee who, on or after July 1, 2015, works in California for the same employer for 30 or more days within a year from the commencement of employment is entitled to paid sick days as specified in this section.”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Regarding Domestic Violence</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the California Family Rights Act</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 12945.2, and a right to reinstatement in the same, or a comparable, position at the end of the leave. § 12945.2, subd. (a). The right to reinstatement is unwaivable but not unlimited. Employers must not deny employees reinstatement unless the refusal is justified by the defenses stated in Cal. Code Regs., tit. 2, § 11089, subd. (c)(1), (2). § 11089, subd. (a).” Richey v. Autonation, Inc.,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(Dudley v. Department of Transportation (2001) 90 Cal.App.4th 255, 261 [108 Cal.Rptr.2d 739].)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Employer Liability for Harassment and Hostile Work Environment</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Harris, 510 U.S. at 21, 114 S.Ct. 367. Furthermore, courts evaluate the totality of the circumstances test to determine whether a plaintiff's allegations make out a colorable claim of a hostile work environment. In Harris, the court listed frequency, severity and the level of interference with work performance among the factors particularly relevant to the inquiry. When assessing the objective portion of a plaintiff's claim, courts assume the perspective of the reasonable victim. See Ellison v. Brady, 924 F.2d 872, 879 (9th Cir. 1991).</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DFEH v. Fresno Hilton Hotel, (1984) FEHC Dec. No. 84-03, p. 29; and see also Harris v. Forklift Systems, Inc. (1993) 114 S.Ct. 367.</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establish harassment under FEHA, an employee must demonstrate: (1) membership in a protected group, (2) that she was subjected to harassment because she belonged to this group, and (3) the alleged harassment was so severe that it created a hostile work environment.</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Discrimination in Violation of FEHA</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uses a three-stage test, established in McDonnell Douglas Corp. v. Green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Guz v. Bechtel (2000) 24 Ca1.4th 317,354-356.</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Guz v. Bechtel (2000) 24 Ca1.4th at 355.</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Retaliation in Violation of FEHA</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§12940(h) provides that it is unlawful to retaliate against a person “because the person has opposed any practices forbidden under [FEHA] or because the person has </w:t>
      </w:r>
      <w:r>
        <w:rPr>
          <w:rFonts w:ascii="Times New Roman" w:hAnsi="Times New Roman" w:cs="Times New Roman" w:eastAsia="Times New Roman"/>
          <w:color w:val="auto"/>
          <w:spacing w:val="0"/>
          <w:position w:val="0"/>
          <w:sz w:val="24"/>
          <w:shd w:fill="auto" w:val="clear"/>
        </w:rPr>
        <w:t xml:space="preserve">ﬁ</w:t>
      </w:r>
      <w:r>
        <w:rPr>
          <w:rFonts w:ascii="Times New Roman" w:hAnsi="Times New Roman" w:cs="Times New Roman" w:eastAsia="Times New Roman"/>
          <w:color w:val="auto"/>
          <w:spacing w:val="0"/>
          <w:position w:val="0"/>
          <w:sz w:val="24"/>
          <w:shd w:fill="auto" w:val="clear"/>
        </w:rPr>
        <w:t xml:space="preserve">led a complaint, testi</w:t>
      </w:r>
      <w:r>
        <w:rPr>
          <w:rFonts w:ascii="Times New Roman" w:hAnsi="Times New Roman" w:cs="Times New Roman" w:eastAsia="Times New Roman"/>
          <w:color w:val="auto"/>
          <w:spacing w:val="0"/>
          <w:position w:val="0"/>
          <w:sz w:val="24"/>
          <w:shd w:fill="auto" w:val="clear"/>
        </w:rPr>
        <w:t xml:space="preserve">ﬁ</w:t>
      </w:r>
      <w:r>
        <w:rPr>
          <w:rFonts w:ascii="Times New Roman" w:hAnsi="Times New Roman" w:cs="Times New Roman" w:eastAsia="Times New Roman"/>
          <w:color w:val="auto"/>
          <w:spacing w:val="0"/>
          <w:position w:val="0"/>
          <w:sz w:val="24"/>
          <w:shd w:fill="auto" w:val="clear"/>
        </w:rPr>
        <w:t xml:space="preserve">ed, or assisted in any proceeding under [FEHA].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also unlawful to retaliate or otherwise discriminate against a person for requesting an accommodation for religious practice or disability, regardless of whether the request was granted. Gov. Code, </w:t>
      </w:r>
      <w:r>
        <w:rPr>
          <w:rFonts w:ascii="Times New Roman" w:hAnsi="Times New Roman" w:cs="Times New Roman" w:eastAsia="Times New Roman"/>
          <w:color w:val="auto"/>
          <w:spacing w:val="0"/>
          <w:position w:val="0"/>
          <w:sz w:val="24"/>
          <w:shd w:fill="auto" w:val="clear"/>
        </w:rPr>
        <w:t xml:space="preserve">§ 12940(l)(4), (m)(2).</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Failure to Accommodate in Violation of FEHA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Failure to Engage in the Interactive Process in Violation of FEHA</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See, e.g., Judicial Council of California Civil Jury Instructions (2017).</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Violation of California’s Lactation Accommodation Law</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per Labor Code, § 1033, subd. (a) An employer who violates any provision of this chapter shall be subject to a civil penalty in the amount of one hundred dollars ($100) for each violation.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Employer Liability for Failure to Provide COBRA Notification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Liability for Defamation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employer may be held vicariously liable for defamatory statements made by supervisors or coworkers in the course and scope of employment regarding their employees. Kelly v. General Tel. Co., (1982) 136 Cal.App.3d 278 at 284.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Jensen v. Hewlett Packard Co. (1993) 14 Cal.App.4th 958, 964-965.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False Inducement of Employment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972 states, "Any person, or agent or officer thereof who violates any provision of § 970 is liable to the party aggrieved, in a civil action, for double damages resulting from such misrepresentations."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Wrongful Termination in Violation of Public Policy</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Constructive Discharge as Wrongful Termination in Violation of Public Policy</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When the employer's conduct effectively forces an employee to resign, it is treated as a firing rather than a resignation. Turner v. Anheuser-Busch, Inc. (1994) 7 Cal.4th 1238.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Misclassification as Independent Contractor</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courts and administrative agencies use a multi-factor test to determine if an individual is an employee or an independent contractor. In the case of S. G. Borello &amp; Sons, Inc. v Dept. of Industrial Relations (1989) the California Supreme Court outlined the underpinning of the test as considering whether the person to whom service is rendered has control or the right to control the worker both as to the work done and the manner and means in which it is performed.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case of Dynamex Operations West, Inc. v. The Superior Court of Los Angeles County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w:t>
      </w:r>
    </w:p>
    <w:p>
      <w:pPr>
        <w:spacing w:before="0" w:after="160" w:line="48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Labor Code Violations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Violation of California Equal Pay Act</w:t>
      </w: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{{delete_a_or_b}}</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Violation of California's Paid Sick Leave</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Failure to Pay Minimum Wage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every pay period that the total paid by Defendant in wages and/or commissions is not equal to or greater than the applicable minimum wage, Plaintiff is owed not only the unpaid wages but also liquidated damages in an amount equal to the unpaid wages.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Unpaid Wages/Overtime Wages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employer is required to pay an employee for all hours worked. "Hours worked" means the time during which an employee is subject to the control of an employer and includes all the time the employee is suffered or permitted to work, whether or not required to do so.</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Waiting Time Penalties for Unpaid Wages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§201 provides, "If an employer discharges an employee, the wages earned and unpaid at the time of discharge are due and payable immediately."</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Smith v. L'Oreal USA, Inc. (2006) 39 Cal.4th 77, the California Supreme Court emphasized the importance of paying California employees promptly, as follows: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Failing to immediately pay an employee's wages upon termination is an expensive violation.  If upon termination the employer does not immediately pay an employee what he or she is owed, Labor Code §203 imposes upon the employer a severe penalty. Labor Code §203 provides: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word "willful" does not require proof of a "deliberate evil purpose" on the part of the employer. Barnhill v. Robert Saunders &amp; Co.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Noncompliant Wage Statements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subdivision (b) of Section 1682,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Section 201.3, the rate of pay and the total hours worked for each temporary services assignment.”</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Meal Period Violations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Brinker Restaurant Corp. v. Superior Court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Cicairos v. Summit Logistics, Inc. (2005) 133 Cal.App.4th 949; Jaimez v. DAIOHS USA Inc. (2010) 181 Cal.App.4th 1286; and Dilts v. Penske Logistics, LLC, 267 F.R.D. 625, 638 (S.D.Cal.2010). Thus, a meal period violation will occur if the employer does not ensure an employee is free from their job duties.</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Rest Break Violations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Section 12 of the Industrial Welfare Commission Wage Orders requires that:</w:t>
      </w: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Failure to Indemnify</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See Cochran v. Schwan’s Home Services (2014) 228 CA.App.4th 1137.</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Unlawful Wage Deductions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§221 states, "It shall be unlawful for any employer to collect or receive from an employee any part of wages theretofore paid by said employer to said employee."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Unlawful Gratuity Deductions</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Failure to Provide Records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California Labor Code §1198.5, employees have the right to request and obtain copies of their personnel files and related employment records. If an employer fails to provide these records, they may face a penalty of $750 for non-compliance.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Punitive Damages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"Punitive damages are to be assessed in an amount which, depending upon the defendant's financial worth and other factors, will deter him and others from committing similar misdeeds." College Hospital, Inc. v. Superior Court (1994) 8 Ca1.4th 704, 712.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corporate punitive damages liability, §3294(b) requires that the wrongful act giving rise to the exemplary damages be committed by an "officer, director, or managing agent." White v. Ultramar, Inc. (1999) 21 Ca1.4th 563, 572. Importantly, "malice does not require actual intent to harm." Angie M v. Sup. Ct. (1995) 37 Cal.App.4th 1217, 1228.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"[n]onintentional conduct comes within the definition of malicious acts punishable by the assessment of punitive damages when a party intentionally performs an act from which he knows, or should know, it is highly probable that harm will result." Ford Motor Co. v. Homes Ins. Co. (1981) 116 Cal.App.3d 374,381; Angie M, 37 Cal.App.4th at 1228.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California Attorney's Fees Provisions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Defendant's full liability estimation is calculated below.</w:t>
      </w:r>
    </w:p>
    <w:p>
      <w:pPr>
        <w:spacing w:before="0" w:after="160" w:line="48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Damages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{{damages_formatted}}</w:t>
      </w:r>
    </w:p>
    <w:p>
      <w:pPr>
        <w:spacing w:before="0" w:after="160" w:line="48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Evidence Preservation &amp; Demand for Employment File</w:t>
      </w: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remainder of this letter is intended to inform you of the following legal obligations that Defendant is required to comply with:</w:t>
      </w:r>
      <w:r>
        <w:rPr>
          <w:rFonts w:ascii="Times New Roman" w:hAnsi="Times New Roman" w:cs="Times New Roman" w:eastAsia="Times New Roman"/>
          <w:b/>
          <w:color w:val="auto"/>
          <w:spacing w:val="0"/>
          <w:position w:val="0"/>
          <w:sz w:val="24"/>
          <w:shd w:fill="auto" w:val="clear"/>
        </w:rPr>
        <w:t xml:space="preserve"> (1) evidence preservation; (2) production of our client’s employee records; and (3) notice of lien.</w:t>
      </w:r>
    </w:p>
    <w:p>
      <w:pPr>
        <w:spacing w:before="0" w:after="160" w:line="27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ab/>
      </w:r>
      <w:r>
        <w:rPr>
          <w:rFonts w:ascii="Times New Roman" w:hAnsi="Times New Roman" w:cs="Times New Roman" w:eastAsia="Times New Roman"/>
          <w:b/>
          <w:color w:val="auto"/>
          <w:spacing w:val="0"/>
          <w:position w:val="0"/>
          <w:sz w:val="28"/>
          <w:u w:val="single"/>
          <w:shd w:fill="auto" w:val="clear"/>
        </w:rPr>
        <w:t xml:space="preserve">Evidence Preservation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pending litigation, this letter serves to remind you of your obligation under California law to preserve evidence and instructs you to adhere to those requirements.</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discovery rules, Defendant has a duty to preserve any potentially relevant evidence when litigation is reasonably anticipated. Accordingly, {{company_name}} is required to preserve all documents and materials related to {{client_name}}.</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Plaintiff reserves the right to seek all available remedies, including damages and evidentiary and monetary sanctions, should Defendant fail to take steps to preserve such information.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Demand for Employment File</w:t>
      </w: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Time and Pay Records</w:t>
      </w: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Labor Code § 226, employers must provide former employees with access to these records "as soon as practicable," but no later than 21 days after a request. Failure to do so entitles the employee to a $750 penalty. </w:t>
      </w:r>
    </w:p>
    <w:p>
      <w:pPr>
        <w:spacing w:before="0" w:after="160" w:line="48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Personnel Records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 </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pPr>
        <w:spacing w:before="0" w:after="160" w:line="480"/>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Notice of Lien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 forward to receiving the requested documents promptly. Please reach out if you have any questions or wish to discuss this matter further.</w:t>
      </w:r>
      <w:r>
        <w:rPr>
          <w:rFonts w:ascii="Times New Roman" w:hAnsi="Times New Roman" w:cs="Times New Roman" w:eastAsia="Times New Roman"/>
          <w:b/>
          <w:color w:val="auto"/>
          <w:spacing w:val="0"/>
          <w:position w:val="0"/>
          <w:sz w:val="24"/>
          <w:shd w:fill="auto" w:val="clear"/>
        </w:rPr>
        <w:t xml:space="preserve"> Our phone number is (818) 900-6255 and my email is </w:t>
      </w:r>
      <w:hyperlink xmlns:r="http://schemas.openxmlformats.org/officeDocument/2006/relationships" r:id="docRId0">
        <w:r>
          <w:rPr>
            <w:rFonts w:ascii="Times New Roman" w:hAnsi="Times New Roman" w:cs="Times New Roman" w:eastAsia="Times New Roman"/>
            <w:b/>
            <w:color w:val="467886"/>
            <w:spacing w:val="0"/>
            <w:position w:val="0"/>
            <w:sz w:val="24"/>
            <w:u w:val="single"/>
            <w:shd w:fill="auto" w:val="clear"/>
          </w:rPr>
          <w:t xml:space="preserve">hassanhalawi@legalcorner.com</w:t>
        </w:r>
      </w:hyperlink>
      <w:r>
        <w:rPr>
          <w:rFonts w:ascii="Times New Roman" w:hAnsi="Times New Roman" w:cs="Times New Roman" w:eastAsia="Times New Roman"/>
          <w:b/>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Sincerely,</w:t>
      </w:r>
      <w:r>
        <w:object w:dxaOrig="3795" w:dyaOrig="1580">
          <v:rect xmlns:o="urn:schemas-microsoft-com:office:office" xmlns:v="urn:schemas-microsoft-com:vml" id="rectole0000000000" style="width:189.750000pt;height:79.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_____________________________</w:t>
      </w:r>
    </w:p>
    <w:p>
      <w:pPr>
        <w:spacing w:before="0" w:after="160" w:line="279"/>
        <w:ind w:right="0" w:left="0" w:firstLine="0"/>
        <w:jc w:val="left"/>
        <w:rPr>
          <w:rFonts w:ascii="Aptos" w:hAnsi="Aptos" w:cs="Aptos" w:eastAsia="Apto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Hassan Halawi, Esq.</w:t>
      </w:r>
      <w:r>
        <w:rPr>
          <w:rFonts w:ascii="Aptos" w:hAnsi="Aptos" w:cs="Aptos" w:eastAsia="Aptos"/>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 LEGAL CORNER LAW OFFICE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mailto:hassanhalawi@legalcorner.com"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