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center" w:pos="4680"/>
          <w:tab w:val="left" w:pos="7920"/>
        </w:tabs>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 xml:space="preserve">April 06, 2025</w:t>
      </w:r>
      <w:r>
        <w:rPr>
          <w:rFonts w:ascii="Times New Roman" w:hAnsi="Times New Roman" w:eastAsia="Times New Roman" w:cs="Times New Roman"/>
          <w:sz w:val="24"/>
          <w:szCs w:val="24"/>
          <w:rtl w:val="0"/>
        </w:rPr>
        <w:tab/>
      </w:r>
    </w:p>
    <w:p w14:paraId="00000002">
      <w:pPr>
        <w:spacing w:line="240" w:lineRule="auto"/>
        <w:jc w:val="both"/>
        <w:rPr>
          <w:rFonts w:ascii="Times New Roman" w:hAnsi="Times New Roman" w:eastAsia="Times New Roman" w:cs="Times New Roman"/>
          <w:sz w:val="24"/>
          <w:szCs w:val="24"/>
        </w:rPr>
      </w:pPr>
    </w:p>
    <w:p w14:paraId="00000003">
      <w:pPr>
        <w:spacing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u w:val="single"/>
          <w:rtl w:val="0"/>
        </w:rPr>
        <w:t>Via U.S. Mail:</w:t>
      </w:r>
    </w:p>
    <w:p w14:paraId="00000004">
      <w:pPr>
        <w:spacing w:line="240" w:lineRule="auto"/>
        <w:rPr>
          <w:rFonts w:hint="default" w:ascii="Times New Roman" w:hAnsi="Times New Roman" w:eastAsia="Times New Roman" w:cs="Times New Roman"/>
          <w:b/>
          <w:sz w:val="24"/>
          <w:szCs w:val="24"/>
          <w:highlight w:val="none"/>
          <w:lang w:val="en-US"/>
        </w:rPr>
      </w:pPr>
      <w:r>
        <w:rPr>
          <w:rFonts w:hint="default" w:ascii="Times New Roman" w:hAnsi="Times New Roman" w:eastAsia="Times New Roman" w:cs="Times New Roman"/>
          <w:b/>
          <w:sz w:val="24"/>
          <w:szCs w:val="24"/>
          <w:highlight w:val="none"/>
          <w:lang w:val="en-US"/>
        </w:rPr>
        <w:t xml:space="preserve">John Doe</w:t>
      </w:r>
    </w:p>
    <w:p w14:paraId="00000005">
      <w:pPr>
        <w:spacing w:line="24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Attention: Human Resources Department</w:t>
      </w:r>
    </w:p>
    <w:p w14:paraId="0CE06B39">
      <w:pPr>
        <w:spacing w:line="240" w:lineRule="auto"/>
        <w:rPr>
          <w:rFonts w:ascii="Times New Roman" w:hAnsi="Times New Roman" w:eastAsia="Times New Roman" w:cs="Times New Roman"/>
          <w:sz w:val="24"/>
          <w:szCs w:val="24"/>
          <w:highlight w:val="none"/>
        </w:rPr>
      </w:pPr>
      <w:r>
        <w:rPr>
          <w:rFonts w:hint="default" w:ascii="Times New Roman" w:hAnsi="Times New Roman" w:eastAsia="Times New Roman" w:cs="Times New Roman"/>
          <w:sz w:val="24"/>
          <w:szCs w:val="24"/>
          <w:highlight w:val="none"/>
          <w:rtl w:val="0"/>
          <w:lang w:val="en-US"/>
        </w:rPr>
        <w:t xml:space="preserve">456 Elm Street, Springfield</w:t>
      </w:r>
      <w:r>
        <w:rPr>
          <w:rFonts w:ascii="Times New Roman" w:hAnsi="Times New Roman" w:eastAsia="Times New Roman" w:cs="Times New Roman"/>
          <w:sz w:val="24"/>
          <w:szCs w:val="24"/>
          <w:highlight w:val="none"/>
          <w:rtl w:val="0"/>
        </w:rPr>
        <w:t> </w:t>
      </w:r>
    </w:p>
    <w:p w14:paraId="0AC4EDCF">
      <w:pPr>
        <w:spacing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highlight w:val="none"/>
          <w:rtl w:val="0"/>
          <w:lang w:val="en-US"/>
        </w:rPr>
        <w:t xml:space="preserve">CA</w:t>
      </w:r>
    </w:p>
    <w:p w14:paraId="05F954C8">
      <w:pPr>
        <w:spacing w:line="240" w:lineRule="auto"/>
        <w:rPr>
          <w:rFonts w:ascii="Times New Roman" w:hAnsi="Times New Roman" w:eastAsia="Times New Roman" w:cs="Times New Roman"/>
          <w:b/>
          <w:sz w:val="24"/>
          <w:szCs w:val="24"/>
          <w:rtl w:val="0"/>
        </w:rPr>
      </w:pPr>
    </w:p>
    <w:p w14:paraId="00000008">
      <w:pPr>
        <w:spacing w:line="240" w:lineRule="auto"/>
        <w:jc w:val="right"/>
        <w:rPr>
          <w:rFonts w:ascii="Times New Roman" w:hAnsi="Times New Roman" w:eastAsia="Times New Roman" w:cs="Times New Roman"/>
          <w:sz w:val="24"/>
          <w:szCs w:val="24"/>
        </w:rPr>
      </w:pPr>
    </w:p>
    <w:p w14:paraId="00000009">
      <w:pPr>
        <w:spacing w:line="240" w:lineRule="auto"/>
        <w:jc w:val="both"/>
        <w:rPr>
          <w:rFonts w:ascii="Times New Roman" w:hAnsi="Times New Roman" w:eastAsia="Times New Roman" w:cs="Times New Roman"/>
          <w:sz w:val="24"/>
          <w:szCs w:val="24"/>
        </w:rPr>
      </w:pPr>
    </w:p>
    <w:p w14:paraId="0000000A">
      <w:pPr>
        <w:spacing w:after="240" w:line="240" w:lineRule="auto"/>
        <w:ind w:left="1440" w:hanging="720"/>
        <w:jc w:val="center"/>
        <w:rPr>
          <w:rFonts w:hint="default" w:ascii="Times New Roman" w:hAnsi="Times New Roman" w:eastAsia="Times New Roman" w:cs="Times New Roman"/>
          <w:i/>
          <w:sz w:val="24"/>
          <w:szCs w:val="24"/>
          <w:highlight w:val="none"/>
          <w:u w:val="single"/>
          <w:lang w:val="en-US"/>
        </w:rPr>
      </w:pPr>
      <w:r>
        <w:rPr>
          <w:rFonts w:hint="default" w:ascii="Times New Roman" w:hAnsi="Times New Roman" w:eastAsia="Times New Roman" w:cs="Times New Roman"/>
          <w:i/>
          <w:sz w:val="24"/>
          <w:szCs w:val="24"/>
          <w:highlight w:val="none"/>
          <w:u w:val="single"/>
          <w:rtl w:val="0"/>
          <w:lang w:val="en-US"/>
        </w:rPr>
        <w:t xml:space="preserve">Jane Smith</w:t>
      </w:r>
      <w:r>
        <w:rPr>
          <w:rFonts w:ascii="Times New Roman" w:hAnsi="Times New Roman" w:eastAsia="Times New Roman" w:cs="Times New Roman"/>
          <w:i/>
          <w:sz w:val="24"/>
          <w:szCs w:val="24"/>
          <w:highlight w:val="none"/>
          <w:u w:val="single"/>
          <w:rtl w:val="0"/>
        </w:rPr>
        <w:t xml:space="preserve"> v. </w:t>
      </w:r>
      <w:r>
        <w:rPr>
          <w:rFonts w:hint="default" w:ascii="Times New Roman" w:hAnsi="Times New Roman" w:eastAsia="Times New Roman" w:cs="Times New Roman"/>
          <w:i/>
          <w:sz w:val="24"/>
          <w:szCs w:val="24"/>
          <w:highlight w:val="none"/>
          <w:u w:val="single"/>
          <w:rtl w:val="0"/>
          <w:lang w:val="en-US"/>
        </w:rPr>
        <w:t xml:space="preserve">John Doe</w:t>
      </w:r>
    </w:p>
    <w:p w14:paraId="0000000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correspondence is protected by California Evidence Code §1154 regarding settlement discussions. Please be advised that our firm represents </w:t>
      </w:r>
      <w:r>
        <w:rPr>
          <w:rFonts w:hint="default" w:ascii="Times New Roman" w:hAnsi="Times New Roman" w:eastAsia="Times New Roman" w:cs="Times New Roman"/>
          <w:b/>
          <w:bCs/>
          <w:sz w:val="24"/>
          <w:szCs w:val="24"/>
          <w:highlight w:val="none"/>
          <w:rtl w:val="0"/>
          <w:lang w:val="en-US"/>
        </w:rPr>
        <w:t xml:space="preserve">Jane Smith</w:t>
      </w:r>
      <w:r>
        <w:rPr>
          <w:rFonts w:ascii="Times New Roman" w:hAnsi="Times New Roman" w:eastAsia="Times New Roman" w:cs="Times New Roman"/>
          <w:sz w:val="24"/>
          <w:szCs w:val="24"/>
          <w:rtl w:val="0"/>
        </w:rPr>
        <w:t xml:space="preserve">(“Plaintiff”) regarding the potential workplace-related claims outlined below against </w:t>
      </w:r>
      <w:r>
        <w:rPr>
          <w:rFonts w:hint="default" w:ascii="Times New Roman" w:hAnsi="Times New Roman" w:eastAsia="Times New Roman" w:cs="Times New Roman"/>
          <w:b/>
          <w:bCs/>
          <w:sz w:val="24"/>
          <w:szCs w:val="24"/>
          <w:rtl w:val="0"/>
          <w:lang w:val="en-US"/>
        </w:rPr>
        <w:t xml:space="preserve">John Doe</w:t>
      </w:r>
      <w:r>
        <w:rPr>
          <w:rFonts w:ascii="Times New Roman" w:hAnsi="Times New Roman" w:eastAsia="Times New Roman" w:cs="Times New Roman"/>
          <w:sz w:val="24"/>
          <w:szCs w:val="24"/>
          <w:highlight w:val="none"/>
          <w:rtl w:val="0"/>
        </w:rPr>
        <w:t xml:space="preserve"> </w:t>
      </w:r>
      <w:r>
        <w:rPr>
          <w:rFonts w:ascii="Times New Roman" w:hAnsi="Times New Roman" w:eastAsia="Times New Roman" w:cs="Times New Roman"/>
          <w:sz w:val="24"/>
          <w:szCs w:val="24"/>
          <w:rtl w:val="0"/>
        </w:rPr>
        <w:t xml:space="preserve">(“Defendant”). Kindly direct all future correspondence and documentation to my attention and refrain from contacting our client directly, whether through your representatives or otherwise, concerning this matter.</w:t>
      </w:r>
    </w:p>
    <w:p w14:paraId="0000000C">
      <w:pPr>
        <w:keepNext w:val="0"/>
        <w:keepLines w:val="0"/>
        <w:widowControl/>
        <w:suppressLineNumbers w:val="0"/>
        <w:spacing w:before="0" w:beforeAutospacing="0" w:after="0" w:afterAutospacing="0" w:line="273" w:lineRule="auto"/>
        <w:ind w:left="0" w:right="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Legal Corner Law Office has been retained to represent </w:t>
      </w:r>
      <w:r>
        <w:rPr>
          <w:rFonts w:hint="default" w:ascii="Times New Roman" w:hAnsi="Times New Roman" w:eastAsia="Times New Roman" w:cs="Times New Roman"/>
          <w:sz w:val="24"/>
          <w:szCs w:val="24"/>
          <w:rtl w:val="0"/>
          <w:lang w:val="en-US"/>
        </w:rPr>
        <w:t xml:space="preserve">Jane Smith</w:t>
      </w:r>
      <w:r>
        <w:rPr>
          <w:rFonts w:ascii="Times New Roman" w:hAnsi="Times New Roman" w:eastAsia="Times New Roman" w:cs="Times New Roman"/>
          <w:sz w:val="24"/>
          <w:szCs w:val="24"/>
          <w:rtl w:val="0"/>
        </w:rPr>
        <w:t xml:space="preserve"> ("Plaintiff") in</w:t>
      </w:r>
      <w:r>
        <w:rPr>
          <w:rFonts w:hint="default" w:ascii="Times New Roman" w:hAnsi="Times New Roman" w:eastAsia="Times New Roman" w:cs="Times New Roman"/>
          <w:sz w:val="24"/>
          <w:szCs w:val="24"/>
          <w:rtl w:val="0"/>
          <w:lang w:val="en-US"/>
        </w:rPr>
        <w:t xml:space="preserve"> he</w:t>
      </w:r>
      <w:r>
        <w:rPr>
          <w:rFonts w:ascii="Times New Roman" w:hAnsi="Times New Roman" w:eastAsia="Times New Roman" w:cs="Times New Roman"/>
          <w:sz w:val="24"/>
          <w:szCs w:val="24"/>
          <w:rtl w:val="0"/>
        </w:rPr>
        <w:t xml:space="preserve"> claims against </w:t>
      </w:r>
      <w:r>
        <w:rPr>
          <w:rFonts w:hint="default" w:ascii="Times New Roman" w:hAnsi="Times New Roman" w:eastAsia="Times New Roman" w:cs="Times New Roman"/>
          <w:sz w:val="24"/>
          <w:szCs w:val="24"/>
          <w:rtl w:val="0"/>
          <w:lang w:val="en-US"/>
        </w:rPr>
        <w:t xml:space="preserve">John Doe</w:t>
      </w:r>
      <w:r>
        <w:rPr>
          <w:rFonts w:ascii="Times New Roman" w:hAnsi="Times New Roman" w:eastAsia="Times New Roman" w:cs="Times New Roman"/>
          <w:sz w:val="24"/>
          <w:szCs w:val="24"/>
          <w:rtl w:val="0"/>
        </w:rPr>
        <w:t xml:space="preserve"> ("Defendant") for:</w:t>
      </w:r>
    </w:p>
    <w:p w14:paraId="0000000D">
      <w:pPr>
        <w:spacing w:line="240" w:lineRule="auto"/>
        <w:jc w:val="both"/>
        <w:rPr>
          <w:rFonts w:ascii="Times New Roman" w:hAnsi="Times New Roman" w:eastAsia="Times New Roman" w:cs="Times New Roman"/>
          <w:sz w:val="24"/>
          <w:szCs w:val="24"/>
          <w:highlight w:val="yellow"/>
        </w:rPr>
      </w:pPr>
    </w:p>
    <w:p w14:paraId="0000000E">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Retaliation in Violation of Labor Code Section 98.6</w:t>
      </w:r>
    </w:p>
    <w:p w14:paraId="0000000F">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Retaliation in Violation of Labor Code Section 1102.5</w:t>
      </w:r>
    </w:p>
    <w:p w14:paraId="00000010">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Harassment in Violation of FEHA</w:t>
      </w:r>
    </w:p>
    <w:p w14:paraId="00000011">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Discrimination in Violation of FEHA</w:t>
      </w:r>
    </w:p>
    <w:p w14:paraId="00000012">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Retaliation in Violation of FEHA </w:t>
      </w:r>
    </w:p>
    <w:p w14:paraId="00000013">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Failure to Accommodate in Violation of FEHA </w:t>
      </w:r>
    </w:p>
    <w:p w14:paraId="00000014">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Engage in the Good Faith Interactive Process in Violation of FEHA</w:t>
      </w:r>
    </w:p>
    <w:p w14:paraId="00000015">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Wrongful Termination in Violation of Public Policy</w:t>
      </w:r>
    </w:p>
    <w:p w14:paraId="00000016">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Earned/Overtime Wages</w:t>
      </w:r>
    </w:p>
    <w:p w14:paraId="00000017">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 xml:space="preserve">Failure to Pay Wages Due Upon Termination; Waiting Time Penalties </w:t>
      </w:r>
    </w:p>
    <w:p w14:paraId="00000018">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Issue Accurate and Itemized Wage Statements</w:t>
      </w:r>
    </w:p>
    <w:p w14:paraId="00000019">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Meal Periods</w:t>
      </w:r>
    </w:p>
    <w:p w14:paraId="0000001A">
      <w:pPr>
        <w:numPr>
          <w:ilvl w:val="0"/>
          <w:numId w:val="1"/>
        </w:numPr>
        <w:spacing w:line="240" w:lineRule="auto"/>
        <w:ind w:left="720" w:hanging="360"/>
        <w:jc w:val="both"/>
        <w:rPr>
          <w:rFonts w:ascii="Times New Roman" w:hAnsi="Times New Roman" w:eastAsia="Times New Roman" w:cs="Times New Roman"/>
          <w:sz w:val="24"/>
          <w:szCs w:val="24"/>
          <w:highlight w:val="none"/>
          <w:u w:val="none"/>
        </w:rPr>
      </w:pPr>
      <w:r>
        <w:rPr>
          <w:rFonts w:ascii="Times New Roman" w:hAnsi="Times New Roman" w:eastAsia="Times New Roman" w:cs="Times New Roman"/>
          <w:sz w:val="24"/>
          <w:szCs w:val="24"/>
          <w:highlight w:val="none"/>
          <w:rtl w:val="0"/>
        </w:rPr>
        <w:t>Failure to Provide Rest Breaks</w:t>
      </w:r>
    </w:p>
    <w:p w14:paraId="0000001B">
      <w:pPr>
        <w:numPr>
          <w:ilvl w:val="0"/>
          <w:numId w:val="1"/>
        </w:numPr>
        <w:spacing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highlight w:val="none"/>
          <w:rtl w:val="0"/>
        </w:rPr>
        <w:t>Failure to Indemnify</w:t>
      </w:r>
      <w:r>
        <w:rPr>
          <w:rFonts w:ascii="Times New Roman" w:hAnsi="Times New Roman" w:eastAsia="Times New Roman" w:cs="Times New Roman"/>
          <w:sz w:val="24"/>
          <w:szCs w:val="24"/>
          <w:rtl w:val="0"/>
        </w:rPr>
        <w:br w:type="textWrapping"/>
      </w:r>
    </w:p>
    <w:p w14:paraId="0000001C">
      <w:pPr>
        <w:spacing w:line="240" w:lineRule="auto"/>
        <w:jc w:val="both"/>
        <w:rPr>
          <w:rFonts w:ascii="Times New Roman" w:hAnsi="Times New Roman" w:eastAsia="Times New Roman" w:cs="Times New Roman"/>
          <w:sz w:val="24"/>
          <w:szCs w:val="24"/>
        </w:rPr>
      </w:pPr>
    </w:p>
    <w:p w14:paraId="0000001D">
      <w:pPr>
        <w:pStyle w:val="2"/>
        <w:numPr>
          <w:ilvl w:val="0"/>
          <w:numId w:val="2"/>
        </w:numPr>
        <w:spacing w:before="0" w:after="240" w:line="240" w:lineRule="auto"/>
        <w:jc w:val="both"/>
        <w:rPr>
          <w:rFonts w:ascii="Times New Roman" w:hAnsi="Times New Roman" w:eastAsia="Times New Roman" w:cs="Times New Roman"/>
          <w:b/>
          <w:sz w:val="24"/>
          <w:szCs w:val="24"/>
        </w:rPr>
      </w:pPr>
      <w:r>
        <w:br w:type="page"/>
      </w:r>
    </w:p>
    <w:p w14:paraId="0000001E">
      <w:pPr>
        <w:pStyle w:val="2"/>
        <w:numPr>
          <w:ilvl w:val="0"/>
          <w:numId w:val="2"/>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Statement of Facts</w:t>
      </w:r>
    </w:p>
    <w:p w14:paraId="0000001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Defendant hired </w:t>
      </w:r>
      <w:r>
        <w:rPr>
          <w:rFonts w:hint="default" w:ascii="Times New Roman" w:hAnsi="Times New Roman" w:eastAsia="Times New Roman" w:cs="Times New Roman"/>
          <w:sz w:val="24"/>
          <w:szCs w:val="24"/>
          <w:rtl w:val="0"/>
          <w:lang w:val="en-US"/>
        </w:rPr>
        <w:t xml:space="preserve">Mr.Doe</w:t>
      </w:r>
      <w:r>
        <w:rPr>
          <w:rFonts w:ascii="Times New Roman" w:hAnsi="Times New Roman" w:eastAsia="Times New Roman" w:cs="Times New Roman"/>
          <w:sz w:val="24"/>
          <w:szCs w:val="24"/>
          <w:rtl w:val="0"/>
        </w:rPr>
        <w:t xml:space="preserve"> on or around </w:t>
      </w:r>
      <w:r>
        <w:rPr>
          <w:rFonts w:hint="default" w:ascii="Times New Roman" w:hAnsi="Times New Roman" w:eastAsia="Times New Roman" w:cs="Times New Roman"/>
          <w:sz w:val="24"/>
          <w:szCs w:val="24"/>
          <w:rtl w:val="0"/>
          <w:lang w:val="en-US"/>
        </w:rPr>
        <w:t xml:space="preserve">2025-01-01</w:t>
      </w:r>
      <w:r>
        <w:rPr>
          <w:rFonts w:ascii="Times New Roman" w:hAnsi="Times New Roman" w:eastAsia="Times New Roman" w:cs="Times New Roman"/>
          <w:sz w:val="24"/>
          <w:szCs w:val="24"/>
          <w:rtl w:val="0"/>
        </w:rPr>
        <w:t xml:space="preserve"> as a </w:t>
      </w:r>
      <w:r>
        <w:rPr>
          <w:rFonts w:hint="default" w:ascii="Times New Roman" w:hAnsi="Times New Roman" w:eastAsia="Times New Roman" w:cs="Times New Roman"/>
          <w:sz w:val="24"/>
          <w:szCs w:val="24"/>
          <w:rtl w:val="0"/>
          <w:lang w:val="en-US"/>
        </w:rPr>
        <w:t xml:space="preserve">Software Engineer</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Mr.Doe</w:t>
      </w:r>
      <w:r>
        <w:rPr>
          <w:rFonts w:ascii="Times New Roman" w:hAnsi="Times New Roman" w:eastAsia="Times New Roman" w:cs="Times New Roman"/>
          <w:sz w:val="24"/>
          <w:szCs w:val="24"/>
          <w:rtl w:val="0"/>
        </w:rPr>
        <w:t xml:space="preserve"> was compensated with an </w:t>
      </w:r>
      <w:r>
        <w:rPr>
          <w:rFonts w:hint="default" w:ascii="Times New Roman" w:hAnsi="Times New Roman" w:eastAsia="Times New Roman" w:cs="Times New Roman"/>
          <w:sz w:val="24"/>
          <w:szCs w:val="24"/>
          <w:rtl w:val="0"/>
          <w:lang w:val="en-US"/>
        </w:rPr>
        <w:t xml:space="preserve">25000</w:t>
      </w:r>
      <w:r>
        <w:rPr>
          <w:rFonts w:ascii="Times New Roman" w:hAnsi="Times New Roman" w:eastAsia="Times New Roman" w:cs="Times New Roman"/>
          <w:sz w:val="24"/>
          <w:szCs w:val="24"/>
          <w:rtl w:val="0"/>
        </w:rPr>
        <w:t xml:space="preserve"> of </w:t>
      </w:r>
      <w:r>
        <w:rPr>
          <w:rFonts w:hint="default" w:ascii="Times New Roman" w:hAnsi="Times New Roman" w:eastAsia="Times New Roman" w:cs="Times New Roman"/>
          <w:sz w:val="24"/>
          <w:szCs w:val="24"/>
          <w:rtl w:val="0"/>
          <w:lang w:val="en-US"/>
        </w:rPr>
        <w:t xml:space="preserve">$25</w:t>
      </w:r>
      <w:r>
        <w:rPr>
          <w:rFonts w:ascii="Times New Roman" w:hAnsi="Times New Roman" w:eastAsia="Times New Roman" w:cs="Times New Roman"/>
          <w:sz w:val="24"/>
          <w:szCs w:val="24"/>
          <w:rtl w:val="0"/>
        </w:rPr>
        <w:t xml:space="preserve"> and last worked at Defendant on </w:t>
      </w:r>
      <w:r>
        <w:rPr>
          <w:rFonts w:hint="default" w:ascii="Times New Roman" w:hAnsi="Times New Roman" w:eastAsia="Times New Roman" w:cs="Times New Roman"/>
          <w:sz w:val="24"/>
          <w:szCs w:val="24"/>
          <w:rtl w:val="0"/>
          <w:lang w:val="en-US"/>
        </w:rPr>
        <w:t xml:space="preserve">2025-01-01</w:t>
      </w:r>
      <w:r>
        <w:rPr>
          <w:rFonts w:ascii="Times New Roman" w:hAnsi="Times New Roman" w:eastAsia="Times New Roman" w:cs="Times New Roman"/>
          <w:sz w:val="24"/>
          <w:szCs w:val="24"/>
          <w:rtl w:val="0"/>
        </w:rPr>
        <w:t xml:space="preserve">. </w:t>
      </w:r>
    </w:p>
    <w:p w14:paraId="00000020">
      <w:pPr>
        <w:spacing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[Paragraph(s) concerning Wrongful Termination/FEHA/Labor Code Retaliation]</w:t>
      </w:r>
      <w:bookmarkStart w:id="3" w:name="_GoBack"/>
      <w:bookmarkEnd w:id="3"/>
    </w:p>
    <w:p w14:paraId="00000021">
      <w:pPr>
        <w:spacing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[Paragraph(s) concerning Labor Code Violations (Wages and Hour Issues)]</w:t>
      </w:r>
    </w:p>
    <w:p w14:paraId="0000002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detailed below, Defendant is liable to </w:t>
      </w:r>
      <w:r>
        <w:rPr>
          <w:rFonts w:hint="default" w:ascii="Times New Roman" w:hAnsi="Times New Roman" w:eastAsia="Times New Roman" w:cs="Times New Roman"/>
          <w:sz w:val="24"/>
          <w:szCs w:val="24"/>
          <w:rtl w:val="0"/>
          <w:lang w:val="en-US"/>
        </w:rPr>
        <w:t xml:space="preserve">Mr.Doe</w:t>
      </w:r>
      <w:r>
        <w:rPr>
          <w:rFonts w:ascii="Times New Roman" w:hAnsi="Times New Roman" w:eastAsia="Times New Roman" w:cs="Times New Roman"/>
          <w:sz w:val="24"/>
          <w:szCs w:val="24"/>
          <w:rtl w:val="0"/>
        </w:rPr>
        <w:t xml:space="preserve"> for the following violations of California law. </w:t>
      </w:r>
    </w:p>
    <w:p w14:paraId="0000002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98.6</w:t>
      </w:r>
    </w:p>
    <w:p w14:paraId="0000002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§98.6 states, "</w:t>
      </w:r>
      <w:r>
        <w:rPr>
          <w:rFonts w:ascii="Times New Roman" w:hAnsi="Times New Roman" w:eastAsia="Times New Roman" w:cs="Times New Roman"/>
          <w:sz w:val="24"/>
          <w:szCs w:val="24"/>
          <w:shd w:val="clear" w:fill="FEFEFE"/>
          <w:rtl w:val="0"/>
        </w:rPr>
        <w:t xml:space="preserve">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w:t>
      </w:r>
      <w:r>
        <w:fldChar w:fldCharType="begin"/>
      </w:r>
      <w:r>
        <w:instrText xml:space="preserve"> HYPERLINK "https://1.next.westlaw.com/Link/Document/FullText?findType=L&amp;originatingContext=document&amp;transitionType=DocumentItem&amp;pubNum=1000215&amp;refType=LQ&amp;originatingDoc=I6b3139e29b5f11ed9622de08dbb40fb0&amp;cite=CALBS2699" \h </w:instrText>
      </w:r>
      <w:r>
        <w:fldChar w:fldCharType="separate"/>
      </w:r>
      <w:r>
        <w:rPr>
          <w:rFonts w:ascii="Times New Roman" w:hAnsi="Times New Roman" w:eastAsia="Times New Roman" w:cs="Times New Roman"/>
          <w:sz w:val="24"/>
          <w:szCs w:val="24"/>
          <w:shd w:val="clear" w:fill="FEFEFE"/>
          <w:rtl w:val="0"/>
        </w:rPr>
        <w:t>Section 2699</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or has testified or is about to testify in a proceeding pursuant to that section, or because of the exercise by the employee or applicant for employment on behalf of himself, herself, or others of any rights afforded him or her.</w:t>
      </w:r>
      <w:r>
        <w:rPr>
          <w:rFonts w:ascii="Times New Roman" w:hAnsi="Times New Roman" w:eastAsia="Times New Roman" w:cs="Times New Roman"/>
          <w:sz w:val="24"/>
          <w:szCs w:val="24"/>
          <w:rtl w:val="0"/>
        </w:rPr>
        <w:t>"</w:t>
      </w:r>
    </w:p>
    <w:p w14:paraId="00000025">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1102.5</w:t>
      </w:r>
    </w:p>
    <w:p w14:paraId="0000002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 </w:t>
      </w:r>
    </w:p>
    <w:p w14:paraId="0000002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172E"/>
          <w:sz w:val="24"/>
          <w:szCs w:val="24"/>
          <w:rtl w:val="0"/>
        </w:rPr>
        <w:t>“In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14:paraId="0000002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establish a prima facie case of retaliation under § 1102.5(b), plaintiff must demonstrate that he or she engaged in a protected activity as set forth in § 1102.5, that the employer subjected him or her to an adverse employment action, and a causal link between the two. (</w:t>
      </w:r>
      <w:r>
        <w:rPr>
          <w:rFonts w:ascii="Times New Roman" w:hAnsi="Times New Roman" w:eastAsia="Times New Roman" w:cs="Times New Roman"/>
          <w:i/>
          <w:sz w:val="24"/>
          <w:szCs w:val="24"/>
          <w:rtl w:val="0"/>
        </w:rPr>
        <w:t>McVeigh v. Recology San Francisco</w:t>
      </w:r>
      <w:r>
        <w:rPr>
          <w:rFonts w:ascii="Times New Roman" w:hAnsi="Times New Roman" w:eastAsia="Times New Roman" w:cs="Times New Roman"/>
          <w:sz w:val="24"/>
          <w:szCs w:val="24"/>
          <w:rtl w:val="0"/>
        </w:rPr>
        <w:t xml:space="preserve"> (2013) 213 Cal.App.4th443,468). A Plaintiff who successfully prosecutes for retaliation in violation of § 1102.5 may recover compensatory damages, including economic and emotional distress damages. (</w:t>
      </w:r>
      <w:r>
        <w:rPr>
          <w:rFonts w:ascii="Times New Roman" w:hAnsi="Times New Roman" w:eastAsia="Times New Roman" w:cs="Times New Roman"/>
          <w:i/>
          <w:sz w:val="24"/>
          <w:szCs w:val="24"/>
          <w:rtl w:val="0"/>
        </w:rPr>
        <w:t>Gardenhire v. Housing Authority of the City of Los Angeles</w:t>
      </w:r>
      <w:r>
        <w:rPr>
          <w:rFonts w:ascii="Times New Roman" w:hAnsi="Times New Roman" w:eastAsia="Times New Roman" w:cs="Times New Roman"/>
          <w:sz w:val="24"/>
          <w:szCs w:val="24"/>
          <w:rtl w:val="0"/>
        </w:rPr>
        <w:t xml:space="preserve"> (2000) 85 Cal.App.4th 236,237, 240-241). </w:t>
      </w:r>
    </w:p>
    <w:p w14:paraId="00000029">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Under Labor Code § 132(a)</w:t>
      </w:r>
    </w:p>
    <w:p w14:paraId="0000002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§132(a) states, "Any employer who discharges, or thre</w:t>
      </w:r>
      <w:r>
        <w:rPr>
          <w:rFonts w:ascii="Times New Roman" w:hAnsi="Times New Roman" w:eastAsia="Times New Roman" w:cs="Times New Roman"/>
          <w:sz w:val="24"/>
          <w:szCs w:val="24"/>
          <w:shd w:val="clear" w:fill="FEFEFE"/>
          <w:rtl w:val="0"/>
        </w:rPr>
        <w:t>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14:paraId="0000002B">
      <w:pPr>
        <w:spacing w:line="240" w:lineRule="auto"/>
        <w:jc w:val="both"/>
        <w:rPr>
          <w:rFonts w:ascii="Times New Roman" w:hAnsi="Times New Roman" w:eastAsia="Times New Roman" w:cs="Times New Roman"/>
          <w:b/>
          <w:sz w:val="24"/>
          <w:szCs w:val="24"/>
          <w:highlight w:val="white"/>
          <w:u w:val="single"/>
        </w:rPr>
      </w:pPr>
      <w:r>
        <w:rPr>
          <w:rFonts w:ascii="Times New Roman" w:hAnsi="Times New Roman" w:eastAsia="Times New Roman" w:cs="Times New Roman"/>
          <w:b/>
          <w:sz w:val="24"/>
          <w:szCs w:val="24"/>
          <w:highlight w:val="white"/>
          <w:u w:val="single"/>
          <w:rtl w:val="0"/>
        </w:rPr>
        <w:t>Retaliation Under Labor Code § 230(a)</w:t>
      </w:r>
    </w:p>
    <w:p w14:paraId="0000002C">
      <w:pPr>
        <w:spacing w:line="240" w:lineRule="auto"/>
        <w:jc w:val="both"/>
        <w:rPr>
          <w:rFonts w:ascii="Times New Roman" w:hAnsi="Times New Roman" w:eastAsia="Times New Roman" w:cs="Times New Roman"/>
          <w:b/>
          <w:sz w:val="24"/>
          <w:szCs w:val="24"/>
          <w:highlight w:val="white"/>
          <w:u w:val="single"/>
        </w:rPr>
      </w:pPr>
    </w:p>
    <w:p w14:paraId="0000002D">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14:paraId="0000002E">
      <w:pPr>
        <w:spacing w:line="240" w:lineRule="auto"/>
        <w:jc w:val="both"/>
        <w:rPr>
          <w:rFonts w:ascii="Times New Roman" w:hAnsi="Times New Roman" w:eastAsia="Times New Roman" w:cs="Times New Roman"/>
          <w:sz w:val="24"/>
          <w:szCs w:val="24"/>
        </w:rPr>
      </w:pPr>
    </w:p>
    <w:p w14:paraId="0000002F">
      <w:pPr>
        <w:spacing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Retaliation in Violation of Labor Code §230.8 </w:t>
      </w:r>
    </w:p>
    <w:p w14:paraId="00000030">
      <w:pPr>
        <w:spacing w:line="240" w:lineRule="auto"/>
        <w:jc w:val="both"/>
        <w:rPr>
          <w:rFonts w:ascii="Times New Roman" w:hAnsi="Times New Roman" w:eastAsia="Times New Roman" w:cs="Times New Roman"/>
          <w:b/>
          <w:sz w:val="24"/>
          <w:szCs w:val="24"/>
          <w:u w:val="single"/>
        </w:rPr>
      </w:pPr>
    </w:p>
    <w:p w14:paraId="00000031">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14:paraId="00000032">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14:paraId="00000033">
      <w:pPr>
        <w:shd w:val="clear" w:fill="FFFFFF"/>
        <w:spacing w:after="120" w:line="240" w:lineRule="auto"/>
        <w:jc w:val="both"/>
        <w:rPr>
          <w:rFonts w:ascii="Times New Roman" w:hAnsi="Times New Roman" w:eastAsia="Times New Roman" w:cs="Times New Roman"/>
          <w:b/>
          <w:sz w:val="24"/>
          <w:szCs w:val="24"/>
          <w:u w:val="single"/>
        </w:rPr>
      </w:pPr>
      <w:bookmarkStart w:id="0" w:name="_gjdgxs" w:colFirst="0" w:colLast="0"/>
      <w:bookmarkEnd w:id="0"/>
      <w:r>
        <w:rPr>
          <w:rFonts w:ascii="Times New Roman" w:hAnsi="Times New Roman" w:eastAsia="Times New Roman" w:cs="Times New Roman"/>
          <w:b/>
          <w:sz w:val="24"/>
          <w:szCs w:val="24"/>
          <w:u w:val="single"/>
          <w:rtl w:val="0"/>
        </w:rPr>
        <w:t>Retaliation in Violation of Labor Code §6399.7</w:t>
      </w:r>
    </w:p>
    <w:p w14:paraId="0000003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14:paraId="00000035">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Unsafe Working Conditions </w:t>
      </w:r>
    </w:p>
    <w:p w14:paraId="0000003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14:paraId="0000003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Section 6311 states, "</w:t>
      </w:r>
      <w:r>
        <w:rPr>
          <w:rFonts w:ascii="Times New Roman" w:hAnsi="Times New Roman" w:eastAsia="Times New Roman" w:cs="Times New Roman"/>
          <w:sz w:val="24"/>
          <w:szCs w:val="24"/>
          <w:shd w:val="clear" w:fill="FEFEFE"/>
          <w:rtl w:val="0"/>
        </w:rPr>
        <w:t xml:space="preserve">No employee shall be laid off or discharged for refusing to perform work in the performance of which this code, including </w:t>
      </w:r>
      <w:r>
        <w:fldChar w:fldCharType="begin"/>
      </w:r>
      <w:r>
        <w:instrText xml:space="preserve"> HYPERLINK "https://1.next.westlaw.com/Link/Document/FullText?findType=L&amp;originatingContext=document&amp;transitionType=DocumentItem&amp;pubNum=1000215&amp;refType=LQ&amp;originatingDoc=Ia17934e0a5cc11ed98a8eb36ba7fb35d&amp;cite=CALBS6400" \h </w:instrText>
      </w:r>
      <w:r>
        <w:fldChar w:fldCharType="separate"/>
      </w:r>
      <w:r>
        <w:rPr>
          <w:rFonts w:ascii="Times New Roman" w:hAnsi="Times New Roman" w:eastAsia="Times New Roman" w:cs="Times New Roman"/>
          <w:sz w:val="24"/>
          <w:szCs w:val="24"/>
          <w:shd w:val="clear" w:fill="FEFEFE"/>
          <w:rtl w:val="0"/>
        </w:rPr>
        <w:t>Section 6400</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r>
        <w:rPr>
          <w:rFonts w:ascii="Times New Roman" w:hAnsi="Times New Roman" w:eastAsia="Times New Roman" w:cs="Times New Roman"/>
          <w:sz w:val="24"/>
          <w:szCs w:val="24"/>
          <w:rtl w:val="0"/>
        </w:rPr>
        <w:t>"</w:t>
      </w:r>
    </w:p>
    <w:p w14:paraId="00000038">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Retaliation in Violation of California's Paid Sick Leave </w:t>
      </w:r>
    </w:p>
    <w:p w14:paraId="0000003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§246, “</w:t>
      </w:r>
      <w:r>
        <w:rPr>
          <w:rFonts w:ascii="Times New Roman" w:hAnsi="Times New Roman" w:eastAsia="Times New Roman" w:cs="Times New Roman"/>
          <w:sz w:val="24"/>
          <w:szCs w:val="24"/>
          <w:shd w:val="clear" w:fill="FEFEFE"/>
          <w:rtl w:val="0"/>
        </w:rPr>
        <w:t>An employee who, on or after July 1, 2015, works in California for the same employer for 30 or more days within a year from the commencement of employment is entitled to paid sick days as specified in this section.”</w:t>
      </w:r>
    </w:p>
    <w:p w14:paraId="0000003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w:t>
      </w:r>
      <w:r>
        <w:rPr>
          <w:rFonts w:ascii="Times New Roman" w:hAnsi="Times New Roman" w:eastAsia="Times New Roman" w:cs="Times New Roman"/>
          <w:sz w:val="24"/>
          <w:szCs w:val="24"/>
          <w:shd w:val="clear" w:fill="FEFEFE"/>
          <w:rtl w:val="0"/>
        </w:rPr>
        <w:t>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14:paraId="0000003B">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Retaliation Regarding Domestic Violence</w:t>
      </w:r>
    </w:p>
    <w:p w14:paraId="0000003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14:paraId="0000003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14:paraId="0000003E">
      <w:pPr>
        <w:spacing w:after="240"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Retaliation in Violation of the California Family Rights Act</w:t>
      </w:r>
    </w:p>
    <w:p w14:paraId="0000003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14:paraId="0000004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and a right to reinstatement in the same, or a comparable, position at the end of the leave.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right to reinstatement is unwaivable but not unlimited. Employers must not deny employees reinstatement unless the refusal is justified by the defenses stated in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Cal. Code Regs., tit. 2, § 11089, subd. (c)(1)</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11089,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Richey v. Autonation, Inc.</w:t>
      </w:r>
      <w:r>
        <w:rPr>
          <w:rFonts w:ascii="Times New Roman" w:hAnsi="Times New Roman" w:eastAsia="Times New Roman" w:cs="Times New Roman"/>
          <w:sz w:val="24"/>
          <w:szCs w:val="24"/>
          <w:rtl w:val="0"/>
        </w:rPr>
        <w:t xml:space="preserve">,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14:paraId="0000004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w:t>
      </w:r>
      <w:r>
        <w:rPr>
          <w:rFonts w:ascii="Times New Roman" w:hAnsi="Times New Roman" w:eastAsia="Times New Roman" w:cs="Times New Roman"/>
          <w:i/>
          <w:sz w:val="24"/>
          <w:szCs w:val="24"/>
          <w:rtl w:val="0"/>
        </w:rPr>
        <w:t>Dudley v. Department of Transportation</w:t>
      </w:r>
      <w:r>
        <w:rPr>
          <w:rFonts w:ascii="Times New Roman" w:hAnsi="Times New Roman" w:eastAsia="Times New Roman" w:cs="Times New Roman"/>
          <w:sz w:val="24"/>
          <w:szCs w:val="24"/>
          <w:rtl w:val="0"/>
        </w:rPr>
        <w:t xml:space="preserve"> (2001) 90 Cal.App.4th 255, 261 [108 Cal.Rptr.2d 739].) </w:t>
      </w:r>
    </w:p>
    <w:p w14:paraId="00000042">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Employer Liability for Harassment and Hostile Work Environment</w:t>
      </w:r>
    </w:p>
    <w:p w14:paraId="0000004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510 U.S. at 21, 114 S.Ct. 367. Furthermore, courts evaluate the totality of the circumstances test to determine whether a plaintiff's allegations make out a colorable claim of a hostile work environment. In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the court listed frequency, severity and the level of interference with work performance among the factors particularly relevant to the inquiry. When assessing the objective portion of a plaintiff's claim, courts assume the perspective of the reasonable victim. See </w:t>
      </w:r>
      <w:r>
        <w:rPr>
          <w:rFonts w:ascii="Times New Roman" w:hAnsi="Times New Roman" w:eastAsia="Times New Roman" w:cs="Times New Roman"/>
          <w:i/>
          <w:sz w:val="24"/>
          <w:szCs w:val="24"/>
          <w:rtl w:val="0"/>
        </w:rPr>
        <w:t>Ellison v. Brady</w:t>
      </w:r>
      <w:r>
        <w:rPr>
          <w:rFonts w:ascii="Times New Roman" w:hAnsi="Times New Roman" w:eastAsia="Times New Roman" w:cs="Times New Roman"/>
          <w:sz w:val="24"/>
          <w:szCs w:val="24"/>
          <w:rtl w:val="0"/>
        </w:rPr>
        <w:t>, 924 F.2d 872, 879 (9th Cir. 1991).</w:t>
      </w:r>
    </w:p>
    <w:p w14:paraId="0000004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w:t>
      </w:r>
      <w:r>
        <w:rPr>
          <w:rFonts w:ascii="Times New Roman" w:hAnsi="Times New Roman" w:eastAsia="Times New Roman" w:cs="Times New Roman"/>
          <w:i/>
          <w:sz w:val="24"/>
          <w:szCs w:val="24"/>
          <w:rtl w:val="0"/>
        </w:rPr>
        <w:t>DFEH v. Fresno Hilton Hotel</w:t>
      </w:r>
      <w:r>
        <w:rPr>
          <w:rFonts w:ascii="Times New Roman" w:hAnsi="Times New Roman" w:eastAsia="Times New Roman" w:cs="Times New Roman"/>
          <w:sz w:val="24"/>
          <w:szCs w:val="24"/>
          <w:rtl w:val="0"/>
        </w:rPr>
        <w:t xml:space="preserve">, (1984) FEHC Dec. No. 84-03, p. 29; and see also </w:t>
      </w:r>
      <w:r>
        <w:rPr>
          <w:rFonts w:ascii="Times New Roman" w:hAnsi="Times New Roman" w:eastAsia="Times New Roman" w:cs="Times New Roman"/>
          <w:i/>
          <w:sz w:val="24"/>
          <w:szCs w:val="24"/>
          <w:rtl w:val="0"/>
        </w:rPr>
        <w:t>Harris v. Forklift Systems, Inc.</w:t>
      </w:r>
      <w:r>
        <w:rPr>
          <w:rFonts w:ascii="Times New Roman" w:hAnsi="Times New Roman" w:eastAsia="Times New Roman" w:cs="Times New Roman"/>
          <w:sz w:val="24"/>
          <w:szCs w:val="24"/>
          <w:rtl w:val="0"/>
        </w:rPr>
        <w:t xml:space="preserve"> (1993) 114 S.Ct. 367.</w:t>
      </w:r>
    </w:p>
    <w:p w14:paraId="0000004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14:paraId="0000004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establish harassment under FEHA, an employee must demonstrate: (1) membership in a protected group, (2) that she was subjected to harassment because she belonged to this group, and (3) the alleged harassment was so severe that it created a hostile work environment.</w:t>
      </w:r>
    </w:p>
    <w:p w14:paraId="00000047">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Discrimination in Violation of FEHA</w:t>
      </w:r>
    </w:p>
    <w:p w14:paraId="0000004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uses a three-stage test, established in </w:t>
      </w:r>
      <w:r>
        <w:rPr>
          <w:rFonts w:ascii="Times New Roman" w:hAnsi="Times New Roman" w:eastAsia="Times New Roman" w:cs="Times New Roman"/>
          <w:i/>
          <w:sz w:val="24"/>
          <w:szCs w:val="24"/>
          <w:rtl w:val="0"/>
        </w:rPr>
        <w:t>McDonnell Douglas Corp. v. Green</w:t>
      </w:r>
      <w:r>
        <w:rPr>
          <w:rFonts w:ascii="Times New Roman" w:hAnsi="Times New Roman" w:eastAsia="Times New Roman" w:cs="Times New Roman"/>
          <w:sz w:val="24"/>
          <w:szCs w:val="24"/>
          <w:rtl w:val="0"/>
        </w:rPr>
        <w:t xml:space="preserve">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317,354-356.</w:t>
      </w:r>
    </w:p>
    <w:p w14:paraId="0000004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at 355.</w:t>
      </w:r>
    </w:p>
    <w:p w14:paraId="0000004B">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FEHA</w:t>
      </w:r>
    </w:p>
    <w:p w14:paraId="0000004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14:paraId="0000004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14:paraId="0000004F">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Failure to Accommodate in Violation of FEHA </w:t>
      </w:r>
    </w:p>
    <w:p w14:paraId="0000005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14:paraId="0000005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14:paraId="0000005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14:paraId="0000005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Failure to Engage in the Interactive Process in Violation of FEHA</w:t>
      </w:r>
    </w:p>
    <w:p w14:paraId="0000005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14:paraId="0000005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w:t>
      </w:r>
      <w:r>
        <w:rPr>
          <w:rFonts w:ascii="Times New Roman" w:hAnsi="Times New Roman" w:eastAsia="Times New Roman" w:cs="Times New Roman"/>
          <w:i/>
          <w:sz w:val="24"/>
          <w:szCs w:val="24"/>
          <w:rtl w:val="0"/>
        </w:rPr>
        <w:t>See, e.g., Judicial Council of California Civil Jury Instructions (2017)</w:t>
      </w:r>
      <w:r>
        <w:rPr>
          <w:rFonts w:ascii="Times New Roman" w:hAnsi="Times New Roman" w:eastAsia="Times New Roman" w:cs="Times New Roman"/>
          <w:sz w:val="24"/>
          <w:szCs w:val="24"/>
          <w:rtl w:val="0"/>
        </w:rPr>
        <w:t>.</w:t>
      </w:r>
    </w:p>
    <w:p w14:paraId="00000056">
      <w:pPr>
        <w:spacing w:before="240" w:after="240" w:line="240" w:lineRule="auto"/>
        <w:ind w:right="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Violation of California’s Lactation Accommodation Law</w:t>
      </w:r>
    </w:p>
    <w:p w14:paraId="0000005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14:paraId="00000058">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Additionally, per Labor Code, § 1033, subd. (a) An employer who violates any provision of this chapter shall be subject to a civil penalty in the amount of one hundred dollars ($100) for each violation. </w:t>
      </w:r>
    </w:p>
    <w:p w14:paraId="00000059">
      <w:pPr>
        <w:pStyle w:val="2"/>
        <w:numPr>
          <w:ilvl w:val="0"/>
          <w:numId w:val="2"/>
        </w:numPr>
        <w:spacing w:before="0" w:after="240" w:line="240" w:lineRule="auto"/>
        <w:jc w:val="both"/>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u w:val="single"/>
          <w:rtl w:val="0"/>
        </w:rPr>
        <w:t>Employer Liability for Failure to Provide COBRA Notification</w:t>
      </w:r>
    </w:p>
    <w:p w14:paraId="0000005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14:paraId="0000005B">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Liability for Defamation </w:t>
      </w:r>
    </w:p>
    <w:p w14:paraId="0000005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14:paraId="0000005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employer may be held vicariously liable for defamatory statements made by supervisors or coworkers in the course and scope of employment regarding their employees. </w:t>
      </w:r>
      <w:r>
        <w:rPr>
          <w:rFonts w:ascii="Times New Roman" w:hAnsi="Times New Roman" w:eastAsia="Times New Roman" w:cs="Times New Roman"/>
          <w:i/>
          <w:sz w:val="24"/>
          <w:szCs w:val="24"/>
          <w:rtl w:val="0"/>
        </w:rPr>
        <w:t>Kelly v. General Tel. Co.</w:t>
      </w:r>
      <w:r>
        <w:rPr>
          <w:rFonts w:ascii="Times New Roman" w:hAnsi="Times New Roman" w:eastAsia="Times New Roman" w:cs="Times New Roman"/>
          <w:sz w:val="24"/>
          <w:szCs w:val="24"/>
          <w:rtl w:val="0"/>
        </w:rPr>
        <w:t xml:space="preserve">, (1982) 136 Cal.App.3d 278 at 284. </w:t>
      </w:r>
    </w:p>
    <w:p w14:paraId="0000005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w:t>
      </w:r>
      <w:r>
        <w:rPr>
          <w:rFonts w:ascii="Times New Roman" w:hAnsi="Times New Roman" w:eastAsia="Times New Roman" w:cs="Times New Roman"/>
          <w:i/>
          <w:sz w:val="24"/>
          <w:szCs w:val="24"/>
          <w:rtl w:val="0"/>
        </w:rPr>
        <w:t>Jensen v. Hewlett Packard Co.</w:t>
      </w:r>
      <w:r>
        <w:rPr>
          <w:rFonts w:ascii="Times New Roman" w:hAnsi="Times New Roman" w:eastAsia="Times New Roman" w:cs="Times New Roman"/>
          <w:sz w:val="24"/>
          <w:szCs w:val="24"/>
          <w:rtl w:val="0"/>
        </w:rPr>
        <w:t xml:space="preserve"> (1993) 14 Cal.App.4th 958, 964-965. </w:t>
      </w:r>
    </w:p>
    <w:p w14:paraId="0000005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14:paraId="00000060">
      <w:pPr>
        <w:pStyle w:val="3"/>
        <w:spacing w:before="0" w:after="240" w:line="240" w:lineRule="auto"/>
        <w:ind w:left="0" w:firstLine="0"/>
        <w:jc w:val="both"/>
        <w:rPr>
          <w:rFonts w:ascii="Times New Roman" w:hAnsi="Times New Roman" w:eastAsia="Times New Roman" w:cs="Times New Roman"/>
          <w:b/>
          <w:sz w:val="24"/>
          <w:szCs w:val="24"/>
          <w:u w:val="single"/>
        </w:rPr>
      </w:pPr>
      <w:bookmarkStart w:id="2" w:name="_1fob9te" w:colFirst="0" w:colLast="0"/>
      <w:bookmarkEnd w:id="2"/>
      <w:r>
        <w:rPr>
          <w:rFonts w:ascii="Times New Roman" w:hAnsi="Times New Roman" w:eastAsia="Times New Roman" w:cs="Times New Roman"/>
          <w:b/>
          <w:sz w:val="24"/>
          <w:szCs w:val="24"/>
          <w:u w:val="single"/>
          <w:rtl w:val="0"/>
        </w:rPr>
        <w:t xml:space="preserve">False Inducement of Employment </w:t>
      </w:r>
    </w:p>
    <w:p w14:paraId="0000006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14:paraId="0000006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972 states, "Any person, or agent or officer thereof who violates any provision of § 970 is liable to the party aggrieved, in a civil action, for double damages resulting from such misrepresentations."</w:t>
      </w:r>
    </w:p>
    <w:p w14:paraId="00000063">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Wrongful Termination in Violation of Public Policy</w:t>
      </w:r>
    </w:p>
    <w:p w14:paraId="0000006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14:paraId="0000006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14:paraId="00000066">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Constructive Discharge as Wrongful Termination in Violation of Public Policy</w:t>
      </w:r>
    </w:p>
    <w:p w14:paraId="0000006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When the employer's conduct effectively forces an employee to resign, it is treated as a firing rather than a resignation. </w:t>
      </w:r>
      <w:r>
        <w:rPr>
          <w:rFonts w:ascii="Times New Roman" w:hAnsi="Times New Roman" w:eastAsia="Times New Roman" w:cs="Times New Roman"/>
          <w:i/>
          <w:sz w:val="24"/>
          <w:szCs w:val="24"/>
          <w:rtl w:val="0"/>
        </w:rPr>
        <w:t>Turner v. Anheuser-Busch, Inc.</w:t>
      </w:r>
      <w:r>
        <w:rPr>
          <w:rFonts w:ascii="Times New Roman" w:hAnsi="Times New Roman" w:eastAsia="Times New Roman" w:cs="Times New Roman"/>
          <w:sz w:val="24"/>
          <w:szCs w:val="24"/>
          <w:rtl w:val="0"/>
        </w:rPr>
        <w:t xml:space="preserve"> (1994) 7 Cal.4th 1238. </w:t>
      </w:r>
    </w:p>
    <w:p w14:paraId="0000006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14:paraId="00000069">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Misclassification as Independent Contractor</w:t>
      </w:r>
    </w:p>
    <w:p w14:paraId="0000006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14:paraId="0000006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courts and administrative agencies use a multi-factor test to determine if an individual is an employee or an independent contractor. In the case of </w:t>
      </w:r>
      <w:r>
        <w:rPr>
          <w:rFonts w:ascii="Times New Roman" w:hAnsi="Times New Roman" w:eastAsia="Times New Roman" w:cs="Times New Roman"/>
          <w:i/>
          <w:sz w:val="24"/>
          <w:szCs w:val="24"/>
          <w:rtl w:val="0"/>
        </w:rPr>
        <w:t>S. G. Borello &amp; Sons, Inc. v Dept. of Industrial Relations</w:t>
      </w:r>
      <w:r>
        <w:rPr>
          <w:rFonts w:ascii="Times New Roman" w:hAnsi="Times New Roman" w:eastAsia="Times New Roman" w:cs="Times New Roman"/>
          <w:sz w:val="24"/>
          <w:szCs w:val="24"/>
          <w:rtl w:val="0"/>
        </w:rPr>
        <w:t xml:space="preserve"> (1989) the California Supreme Court outlined the underpinning of the test as considering whether the person to whom service is rendered has control or the right to control the worker both as to the work done and the manner and means in which it is performed. </w:t>
      </w:r>
    </w:p>
    <w:p w14:paraId="0000006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case of </w:t>
      </w:r>
      <w:r>
        <w:rPr>
          <w:rFonts w:ascii="Times New Roman" w:hAnsi="Times New Roman" w:eastAsia="Times New Roman" w:cs="Times New Roman"/>
          <w:i/>
          <w:sz w:val="24"/>
          <w:szCs w:val="24"/>
          <w:rtl w:val="0"/>
        </w:rPr>
        <w:t>Dynamex Operations West, Inc. v. The Superior Court of Los Angeles County</w:t>
      </w:r>
      <w:r>
        <w:rPr>
          <w:rFonts w:ascii="Times New Roman" w:hAnsi="Times New Roman" w:eastAsia="Times New Roman" w:cs="Times New Roman"/>
          <w:sz w:val="24"/>
          <w:szCs w:val="24"/>
          <w:rtl w:val="0"/>
        </w:rPr>
        <w:t xml:space="preserve">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 Id.</w:t>
      </w:r>
    </w:p>
    <w:p w14:paraId="0000006D">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Labor Code Violations </w:t>
      </w:r>
    </w:p>
    <w:p w14:paraId="0000006E">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Violation of California Equal Pay Act </w:t>
      </w:r>
    </w:p>
    <w:p w14:paraId="0000006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California Labor Code Section 1197.5: </w:t>
      </w:r>
      <w:r>
        <w:rPr>
          <w:rFonts w:ascii="Times New Roman" w:hAnsi="Times New Roman" w:eastAsia="Times New Roman" w:cs="Times New Roman"/>
          <w:color w:val="FF0000"/>
          <w:sz w:val="24"/>
          <w:szCs w:val="24"/>
          <w:highlight w:val="yellow"/>
          <w:rtl w:val="0"/>
        </w:rPr>
        <w:t>Delete (a) or (b) if not applicable</w:t>
      </w:r>
      <w:r>
        <w:rPr>
          <w:rFonts w:ascii="Times New Roman" w:hAnsi="Times New Roman" w:eastAsia="Times New Roman" w:cs="Times New Roman"/>
          <w:color w:val="FF0000"/>
          <w:sz w:val="24"/>
          <w:szCs w:val="24"/>
          <w:rtl w:val="0"/>
        </w:rPr>
        <w:t xml:space="preserve"> </w:t>
      </w:r>
    </w:p>
    <w:p w14:paraId="0000007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An employer shall not pay any of its employees at wage rates less than the rates paid to employees of the opposite sex for substantially similar work, when viewed as a composite of skill, effort, and responsibility, and performed under similar working conditions. </w:t>
      </w:r>
    </w:p>
    <w:p w14:paraId="0000007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An employer shall not pay any of its employees at wage rates less than the rates paid to employees of another race or ethnicity for substantially similar work, when viewed as a composite of skill, effort, and responsibility, and performed under similar working conditions.</w:t>
      </w:r>
    </w:p>
    <w:p w14:paraId="0000007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Any employer who violates subdivision (a) or (b) is liable to the employee affected in the amount of the wages, and interest thereon, of which the employee is deprived by reason of the violation, and an additional equal amount as liquidated damages.</w:t>
      </w:r>
    </w:p>
    <w:p w14:paraId="0000007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 An employee receiving less than the wage to which the employee is entitled under this section may recover in a civil action the balance of the wages, including interest thereon, and an equal amount as liquidated damages, together with the costs of the suit and reasonable attorney's fees, notwithstanding any agreement to work for a lesser wage.</w:t>
      </w:r>
    </w:p>
    <w:p w14:paraId="0000007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Violation of California's Paid Sick Leave</w:t>
      </w:r>
    </w:p>
    <w:p w14:paraId="0000007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w14:paraId="0000007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Pay Minimum Wage</w:t>
      </w:r>
    </w:p>
    <w:p w14:paraId="0000007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w14:paraId="0000007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14:paraId="0000007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every pay period that the total paid by Defendant in wages and/or commissions is not equal to or greater than the applicable minimum wage, Plaintiff is owed not only the unpaid wages but also liquidated damages in an amount equal to the unpaid wages. </w:t>
      </w:r>
    </w:p>
    <w:p w14:paraId="0000007A">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Unpaid Wages/Overtime Wages </w:t>
      </w:r>
    </w:p>
    <w:p w14:paraId="0000007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employer is required to pay an employee for all hours worked. "Hours worked" means the time during which an employee is subject to the control of an employer and includes all the time the employee is suffered or permitted to work, whether or not required to do so.</w:t>
      </w:r>
    </w:p>
    <w:p w14:paraId="0000007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14:paraId="0000007D">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Waiting Time Penalties for Unpaid Wages</w:t>
      </w:r>
    </w:p>
    <w:p w14:paraId="0000007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§201 provides, "If an employer discharges an employee, the wages earned and unpaid at the time of discharge are due and payable immediately."</w:t>
      </w:r>
    </w:p>
    <w:p w14:paraId="0000007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Smith v. L'Oreal USA, Inc.</w:t>
      </w:r>
      <w:r>
        <w:rPr>
          <w:rFonts w:ascii="Times New Roman" w:hAnsi="Times New Roman" w:eastAsia="Times New Roman" w:cs="Times New Roman"/>
          <w:sz w:val="24"/>
          <w:szCs w:val="24"/>
          <w:rtl w:val="0"/>
        </w:rPr>
        <w:t xml:space="preserve"> (2006) 39 Cal.4th 77, the California Supreme Court emphasized the importance of paying California employees promptly, as follows:</w:t>
      </w:r>
    </w:p>
    <w:p w14:paraId="0000008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14:paraId="0000008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Failing to immediately pay an employee's wages upon termination is an expensive violation.  If upon termination the employer does not immediately pay an employee what he or she is owed, Labor Code §203 imposes upon the employer a severe penalty. Labor Code §203 provides:</w:t>
      </w:r>
    </w:p>
    <w:p w14:paraId="0000008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w14:paraId="0000008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word "willful" does not require proof of a "deliberate evil purpose" on the part of the employer. </w:t>
      </w:r>
      <w:r>
        <w:rPr>
          <w:rFonts w:ascii="Times New Roman" w:hAnsi="Times New Roman" w:eastAsia="Times New Roman" w:cs="Times New Roman"/>
          <w:i/>
          <w:sz w:val="24"/>
          <w:szCs w:val="24"/>
          <w:rtl w:val="0"/>
        </w:rPr>
        <w:t>Barnhill v. Robert Saunders &amp; Co.</w:t>
      </w:r>
      <w:r>
        <w:rPr>
          <w:rFonts w:ascii="Times New Roman" w:hAnsi="Times New Roman" w:eastAsia="Times New Roman" w:cs="Times New Roman"/>
          <w:sz w:val="24"/>
          <w:szCs w:val="24"/>
          <w:rtl w:val="0"/>
        </w:rPr>
        <w:t xml:space="preserve">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w14:paraId="0000008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Noncompliant Wage Statements</w:t>
      </w:r>
    </w:p>
    <w:p w14:paraId="0000008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w:t>
      </w:r>
      <w:r>
        <w:fldChar w:fldCharType="begin"/>
      </w:r>
      <w:r>
        <w:instrText xml:space="preserve"> HYPERLINK "https://1.next.westlaw.com/Link/Document/FullText?findType=L&amp;originatingContext=document&amp;transitionType=DocumentItem&amp;pubNum=1000215&amp;refType=SP&amp;originatingDoc=I59267370a8e611edabeac2a8a4ee38cb&amp;cite=CALBS1682" \h </w:instrText>
      </w:r>
      <w:r>
        <w:fldChar w:fldCharType="separate"/>
      </w:r>
      <w:r>
        <w:rPr>
          <w:rFonts w:ascii="Times New Roman" w:hAnsi="Times New Roman" w:eastAsia="Times New Roman" w:cs="Times New Roman"/>
          <w:sz w:val="24"/>
          <w:szCs w:val="24"/>
          <w:rtl w:val="0"/>
        </w:rPr>
        <w:t>subdivision (b) of Section 1682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w:t>
      </w:r>
      <w:r>
        <w:fldChar w:fldCharType="begin"/>
      </w:r>
      <w:r>
        <w:instrText xml:space="preserve"> HYPERLINK "https://1.next.westlaw.com/Link/Document/FullText?findType=L&amp;originatingContext=document&amp;transitionType=DocumentItem&amp;pubNum=1000215&amp;refType=LQ&amp;originatingDoc=I59267371a8e611edabeac2a8a4ee38cb&amp;cite=CALBS201.3" \h </w:instrText>
      </w:r>
      <w:r>
        <w:fldChar w:fldCharType="separate"/>
      </w:r>
      <w:r>
        <w:rPr>
          <w:rFonts w:ascii="Times New Roman" w:hAnsi="Times New Roman" w:eastAsia="Times New Roman" w:cs="Times New Roman"/>
          <w:sz w:val="24"/>
          <w:szCs w:val="24"/>
          <w:rtl w:val="0"/>
        </w:rPr>
        <w:t>Section 201.3</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the rate of pay and the total hours worked for each temporary services assignment.”</w:t>
      </w:r>
    </w:p>
    <w:p w14:paraId="0000008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14:paraId="0000008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14:paraId="0000008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Meal Period Violations</w:t>
      </w:r>
    </w:p>
    <w:p w14:paraId="0000008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Brinker Restaurant Corp. v. Superior Court</w:t>
      </w:r>
      <w:r>
        <w:rPr>
          <w:rFonts w:ascii="Times New Roman" w:hAnsi="Times New Roman" w:eastAsia="Times New Roman" w:cs="Times New Roman"/>
          <w:sz w:val="24"/>
          <w:szCs w:val="24"/>
          <w:rtl w:val="0"/>
        </w:rPr>
        <w:t xml:space="preserve">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w14:paraId="0000008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w:t>
      </w:r>
      <w:r>
        <w:rPr>
          <w:rFonts w:ascii="Times New Roman" w:hAnsi="Times New Roman" w:eastAsia="Times New Roman" w:cs="Times New Roman"/>
          <w:i/>
          <w:sz w:val="24"/>
          <w:szCs w:val="24"/>
          <w:rtl w:val="0"/>
        </w:rPr>
        <w:t>Cicairos v. Summit Logistics, Inc.</w:t>
      </w:r>
      <w:r>
        <w:rPr>
          <w:rFonts w:ascii="Times New Roman" w:hAnsi="Times New Roman" w:eastAsia="Times New Roman" w:cs="Times New Roman"/>
          <w:sz w:val="24"/>
          <w:szCs w:val="24"/>
          <w:rtl w:val="0"/>
        </w:rPr>
        <w:t xml:space="preserve"> (2005) 133 Cal.App.4th 949; </w:t>
      </w:r>
      <w:r>
        <w:rPr>
          <w:rFonts w:ascii="Times New Roman" w:hAnsi="Times New Roman" w:eastAsia="Times New Roman" w:cs="Times New Roman"/>
          <w:i/>
          <w:sz w:val="24"/>
          <w:szCs w:val="24"/>
          <w:rtl w:val="0"/>
        </w:rPr>
        <w:t>Jaimez v. DAIOHS USA Inc.</w:t>
      </w:r>
      <w:r>
        <w:rPr>
          <w:rFonts w:ascii="Times New Roman" w:hAnsi="Times New Roman" w:eastAsia="Times New Roman" w:cs="Times New Roman"/>
          <w:sz w:val="24"/>
          <w:szCs w:val="24"/>
          <w:rtl w:val="0"/>
        </w:rPr>
        <w:t xml:space="preserve"> (2010) 181 Cal.App.4th 1286; and </w:t>
      </w:r>
      <w:r>
        <w:rPr>
          <w:rFonts w:ascii="Times New Roman" w:hAnsi="Times New Roman" w:eastAsia="Times New Roman" w:cs="Times New Roman"/>
          <w:i/>
          <w:sz w:val="24"/>
          <w:szCs w:val="24"/>
          <w:rtl w:val="0"/>
        </w:rPr>
        <w:t>Dilts v. Penske Logistics, LLC</w:t>
      </w:r>
      <w:r>
        <w:rPr>
          <w:rFonts w:ascii="Times New Roman" w:hAnsi="Times New Roman" w:eastAsia="Times New Roman" w:cs="Times New Roman"/>
          <w:sz w:val="24"/>
          <w:szCs w:val="24"/>
          <w:rtl w:val="0"/>
        </w:rPr>
        <w:t>, 267 F.R.D. 625, 638 (S.D.Cal.2010). Thus, a meal period violation will occur if the employer does not ensure an employee is free from their job duties.</w:t>
      </w:r>
    </w:p>
    <w:p w14:paraId="0000008B">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Rest Break Violations</w:t>
      </w:r>
    </w:p>
    <w:p w14:paraId="0000008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w14:paraId="0000008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Section 12 of the Industrial Welfare Commission Wage Orders requires that: </w:t>
      </w:r>
    </w:p>
    <w:p w14:paraId="0000008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14:paraId="0000008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14:paraId="00000090">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Indemnify</w:t>
      </w:r>
    </w:p>
    <w:p w14:paraId="00000091">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w:t>
      </w:r>
      <w:r>
        <w:rPr>
          <w:rFonts w:ascii="Times New Roman" w:hAnsi="Times New Roman" w:eastAsia="Times New Roman" w:cs="Times New Roman"/>
          <w:i/>
          <w:sz w:val="24"/>
          <w:szCs w:val="24"/>
          <w:rtl w:val="0"/>
        </w:rPr>
        <w:t>See Cochran v. Schwan’s Home Services (2014) 228 CA.App.4th 1137.</w:t>
      </w:r>
    </w:p>
    <w:p w14:paraId="00000092">
      <w:pPr>
        <w:spacing w:line="240" w:lineRule="auto"/>
        <w:jc w:val="both"/>
        <w:rPr>
          <w:rFonts w:ascii="Times New Roman" w:hAnsi="Times New Roman" w:eastAsia="Times New Roman" w:cs="Times New Roman"/>
          <w:sz w:val="24"/>
          <w:szCs w:val="24"/>
        </w:rPr>
      </w:pPr>
    </w:p>
    <w:p w14:paraId="00000093">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Unlawful Wage Deductions</w:t>
      </w:r>
    </w:p>
    <w:p w14:paraId="0000009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§221 states, "It shall be unlawful for any employer to collect or receive from an employee any part of wages theretofore paid by said employer to said employee." </w:t>
      </w:r>
    </w:p>
    <w:p w14:paraId="0000009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14:paraId="0000009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Unlawful Gratuity Deductions</w:t>
      </w:r>
    </w:p>
    <w:p w14:paraId="0000009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14:paraId="0000009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Provide Records</w:t>
      </w:r>
    </w:p>
    <w:p w14:paraId="0000009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California Labor Code §1198.5, employees have the right to request and obtain copies of their personnel files and related employment records. If an employer fails to provide these records, they may face a penalty of $750 for non-compliance.</w:t>
      </w:r>
    </w:p>
    <w:p w14:paraId="0000009A">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p>
    <w:p w14:paraId="0000009B">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Punitive Damages</w:t>
      </w:r>
    </w:p>
    <w:p w14:paraId="0000009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14:paraId="0000009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"Punitive damages are to be assessed in an amount which, depending upon the defendant's financial worth and other factors, will deter him and others from committing similar misdeeds." </w:t>
      </w:r>
      <w:r>
        <w:rPr>
          <w:rFonts w:ascii="Times New Roman" w:hAnsi="Times New Roman" w:eastAsia="Times New Roman" w:cs="Times New Roman"/>
          <w:i/>
          <w:sz w:val="24"/>
          <w:szCs w:val="24"/>
          <w:rtl w:val="0"/>
        </w:rPr>
        <w:t>College Hospital, Inc. v. Superior Court</w:t>
      </w:r>
      <w:r>
        <w:rPr>
          <w:rFonts w:ascii="Times New Roman" w:hAnsi="Times New Roman" w:eastAsia="Times New Roman" w:cs="Times New Roman"/>
          <w:sz w:val="24"/>
          <w:szCs w:val="24"/>
          <w:rtl w:val="0"/>
        </w:rPr>
        <w:t xml:space="preserve"> (1994) 8 Ca1.4th 704, 712. </w:t>
      </w:r>
    </w:p>
    <w:p w14:paraId="0000009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corporate punitive damages liability, §3294(b) requires that the wrongful act giving rise to the exemplary damages be committed by an "officer, director, or managing agent." </w:t>
      </w:r>
      <w:r>
        <w:rPr>
          <w:rFonts w:ascii="Times New Roman" w:hAnsi="Times New Roman" w:eastAsia="Times New Roman" w:cs="Times New Roman"/>
          <w:i/>
          <w:sz w:val="24"/>
          <w:szCs w:val="24"/>
          <w:rtl w:val="0"/>
        </w:rPr>
        <w:t>White v. Ultramar, Inc.</w:t>
      </w:r>
      <w:r>
        <w:rPr>
          <w:rFonts w:ascii="Times New Roman" w:hAnsi="Times New Roman" w:eastAsia="Times New Roman" w:cs="Times New Roman"/>
          <w:sz w:val="24"/>
          <w:szCs w:val="24"/>
          <w:rtl w:val="0"/>
        </w:rPr>
        <w:t xml:space="preserve"> (1999) 21 Ca1.4th 563, 572. Importantly, "malice does not require actual intent to harm." </w:t>
      </w:r>
      <w:r>
        <w:rPr>
          <w:rFonts w:ascii="Times New Roman" w:hAnsi="Times New Roman" w:eastAsia="Times New Roman" w:cs="Times New Roman"/>
          <w:i/>
          <w:sz w:val="24"/>
          <w:szCs w:val="24"/>
          <w:rtl w:val="0"/>
        </w:rPr>
        <w:t>Angie M v. Sup. Ct.</w:t>
      </w:r>
      <w:r>
        <w:rPr>
          <w:rFonts w:ascii="Times New Roman" w:hAnsi="Times New Roman" w:eastAsia="Times New Roman" w:cs="Times New Roman"/>
          <w:sz w:val="24"/>
          <w:szCs w:val="24"/>
          <w:rtl w:val="0"/>
        </w:rPr>
        <w:t xml:space="preserve"> (1995) 37 Cal.App.4th 1217, 1228. </w:t>
      </w:r>
    </w:p>
    <w:p w14:paraId="0000009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Even "[n]onintentional conduct comes within the definition of malicious acts punishable by the assessment of punitive damages when a party intentionally performs an act from which he knows, or should know, it is highly probable that harm will result." </w:t>
      </w:r>
      <w:r>
        <w:rPr>
          <w:rFonts w:ascii="Times New Roman" w:hAnsi="Times New Roman" w:eastAsia="Times New Roman" w:cs="Times New Roman"/>
          <w:i/>
          <w:sz w:val="24"/>
          <w:szCs w:val="24"/>
          <w:rtl w:val="0"/>
        </w:rPr>
        <w:t>Ford Motor Co. v. Homes Ins. Co.</w:t>
      </w:r>
      <w:r>
        <w:rPr>
          <w:rFonts w:ascii="Times New Roman" w:hAnsi="Times New Roman" w:eastAsia="Times New Roman" w:cs="Times New Roman"/>
          <w:sz w:val="24"/>
          <w:szCs w:val="24"/>
          <w:rtl w:val="0"/>
        </w:rPr>
        <w:t xml:space="preserve"> (1981) 116 Cal.App.3d 374,381; Angie M, 37 Cal.App.4th at 1228. </w:t>
      </w:r>
    </w:p>
    <w:p w14:paraId="000000A0">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California Attorney's Fees Provisions </w:t>
      </w:r>
    </w:p>
    <w:p w14:paraId="000000A1">
      <w:pPr>
        <w:pBdr>
          <w:top w:val="none" w:color="auto" w:sz="0" w:space="0"/>
          <w:left w:val="none" w:color="auto" w:sz="0" w:space="0"/>
          <w:bottom w:val="none" w:color="auto" w:sz="0" w:space="0"/>
          <w:right w:val="none" w:color="auto" w:sz="0" w:space="0"/>
          <w:between w:val="none" w:color="auto" w:sz="0" w:space="0"/>
        </w:pBdr>
        <w:shd w:val="clear" w:fill="FEFEFE"/>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14:paraId="000000A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Defendant's full liability estimation is calculated below.</w:t>
      </w:r>
    </w:p>
    <w:p w14:paraId="000000A3">
      <w:pPr>
        <w:pStyle w:val="2"/>
        <w:numPr>
          <w:ilvl w:val="0"/>
          <w:numId w:val="3"/>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Damages </w:t>
      </w:r>
    </w:p>
    <w:p w14:paraId="000000A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Harassment and Discrimination/Wrongful Termination</w:t>
      </w:r>
    </w:p>
    <w:p w14:paraId="000000A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Lost wages, front and back pay </w:t>
      </w:r>
      <w:r>
        <w:rPr>
          <w:rFonts w:ascii="Times New Roman" w:hAnsi="Times New Roman" w:eastAsia="Times New Roman" w:cs="Times New Roman"/>
          <w:color w:val="FF0000"/>
          <w:sz w:val="24"/>
          <w:szCs w:val="24"/>
          <w:highlight w:val="yellow"/>
          <w:rtl w:val="0"/>
        </w:rPr>
        <w:t xml:space="preserve"> Wrongful Term ONLY</w:t>
      </w:r>
    </w:p>
    <w:p w14:paraId="000000A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Emotional distress damages </w:t>
      </w:r>
      <w:r>
        <w:rPr>
          <w:rFonts w:ascii="Times New Roman" w:hAnsi="Times New Roman" w:eastAsia="Times New Roman" w:cs="Times New Roman"/>
          <w:color w:val="FF0000"/>
          <w:sz w:val="24"/>
          <w:szCs w:val="24"/>
          <w:highlight w:val="yellow"/>
          <w:rtl w:val="0"/>
        </w:rPr>
        <w:t>(for FEHA Discrimination)</w:t>
      </w:r>
      <w:r>
        <w:rPr>
          <w:rFonts w:ascii="Times New Roman" w:hAnsi="Times New Roman" w:eastAsia="Times New Roman" w:cs="Times New Roman"/>
          <w:color w:val="FF0000"/>
          <w:sz w:val="24"/>
          <w:szCs w:val="24"/>
          <w:rtl w:val="0"/>
        </w:rPr>
        <w:t xml:space="preserve"> </w:t>
      </w:r>
    </w:p>
    <w:p w14:paraId="000000A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$10,000.00 = Civil penalty as per Labor Code § </w:t>
      </w:r>
      <w:r>
        <w:rPr>
          <w:rFonts w:ascii="Times New Roman" w:hAnsi="Times New Roman" w:eastAsia="Times New Roman" w:cs="Times New Roman"/>
          <w:color w:val="FF0000"/>
          <w:sz w:val="24"/>
          <w:szCs w:val="24"/>
          <w:highlight w:val="yellow"/>
          <w:rtl w:val="0"/>
        </w:rPr>
        <w:t>[98.6/1102.5/132(a) each]</w:t>
      </w:r>
    </w:p>
    <w:p w14:paraId="000000A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Violation of California Equal Pay Act - Labor Code § 1197.5</w:t>
      </w:r>
    </w:p>
    <w:p w14:paraId="000000A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$XXX.00 = Lost Wages based on unequal pay</w:t>
      </w:r>
    </w:p>
    <w:p w14:paraId="000000A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$XX.00 = Interest </w:t>
      </w:r>
      <w:r>
        <w:rPr>
          <w:rFonts w:ascii="Times New Roman" w:hAnsi="Times New Roman" w:eastAsia="Times New Roman" w:cs="Times New Roman"/>
          <w:color w:val="FF0000"/>
          <w:sz w:val="24"/>
          <w:szCs w:val="24"/>
          <w:highlight w:val="yellow"/>
          <w:rtl w:val="0"/>
        </w:rPr>
        <w:t>[10% of Lost Wages based on unequal pay]</w:t>
      </w:r>
    </w:p>
    <w:p w14:paraId="000000A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$XXX.00 = Liquidated Damages </w:t>
      </w:r>
      <w:r>
        <w:rPr>
          <w:rFonts w:ascii="Times New Roman" w:hAnsi="Times New Roman" w:eastAsia="Times New Roman" w:cs="Times New Roman"/>
          <w:color w:val="FF0000"/>
          <w:sz w:val="24"/>
          <w:szCs w:val="24"/>
          <w:highlight w:val="yellow"/>
          <w:rtl w:val="0"/>
        </w:rPr>
        <w:t>[do not include interest]</w:t>
      </w:r>
    </w:p>
    <w:p w14:paraId="000000A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Unpaid Wages/Overtime</w:t>
      </w:r>
    </w:p>
    <w:p w14:paraId="000000A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$XX per hour</w:t>
      </w:r>
    </w:p>
    <w:p w14:paraId="000000AE">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 overtime rate</w:t>
      </w:r>
    </w:p>
    <w:p w14:paraId="000000A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 = Liquidated Damages </w:t>
      </w:r>
      <w:r>
        <w:rPr>
          <w:rFonts w:ascii="Times New Roman" w:hAnsi="Times New Roman" w:eastAsia="Times New Roman" w:cs="Times New Roman"/>
          <w:color w:val="FF0000"/>
          <w:sz w:val="24"/>
          <w:szCs w:val="24"/>
          <w:highlight w:val="yellow"/>
          <w:rtl w:val="0"/>
        </w:rPr>
        <w:t>(Liquidated Damages = Unpaid Wages + OT Wages)</w:t>
      </w:r>
    </w:p>
    <w:p w14:paraId="000000B0">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203 Waiting Time Penalties</w:t>
      </w:r>
    </w:p>
    <w:p w14:paraId="000000B1">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$X = $X per day for X days </w:t>
      </w:r>
      <w:r>
        <w:rPr>
          <w:rFonts w:ascii="Times New Roman" w:hAnsi="Times New Roman" w:eastAsia="Times New Roman" w:cs="Times New Roman"/>
          <w:sz w:val="24"/>
          <w:szCs w:val="24"/>
          <w:highlight w:val="yellow"/>
          <w:rtl w:val="0"/>
        </w:rPr>
        <w:t>(30 day max penalty)</w:t>
      </w:r>
    </w:p>
    <w:p w14:paraId="000000B2">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Noncompliant Wage Statements</w:t>
      </w:r>
    </w:p>
    <w:p w14:paraId="000000B3">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$50 for first pay period and $100 for X subsequent pay periods  </w:t>
      </w:r>
      <w:r>
        <w:rPr>
          <w:rFonts w:ascii="Times New Roman" w:hAnsi="Times New Roman" w:eastAsia="Times New Roman" w:cs="Times New Roman"/>
          <w:color w:val="FF0000"/>
          <w:sz w:val="24"/>
          <w:szCs w:val="24"/>
          <w:highlight w:val="yellow"/>
          <w:rtl w:val="0"/>
        </w:rPr>
        <w:t>(Max, $4,000.00)</w:t>
      </w:r>
    </w:p>
    <w:p w14:paraId="000000B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Meal Periods</w:t>
      </w:r>
    </w:p>
    <w:p w14:paraId="000000B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missed meal breaks</w:t>
      </w:r>
    </w:p>
    <w:p w14:paraId="000000B6">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Rest Breaks</w:t>
      </w:r>
    </w:p>
    <w:p w14:paraId="000000B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rest breaks</w:t>
      </w:r>
    </w:p>
    <w:p w14:paraId="000000B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2802 Failure to Reimburse</w:t>
      </w:r>
    </w:p>
    <w:p w14:paraId="000000B9">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 xml:space="preserve">$X = Personal </w:t>
      </w:r>
      <w:r>
        <w:rPr>
          <w:rFonts w:ascii="Times New Roman" w:hAnsi="Times New Roman" w:eastAsia="Times New Roman" w:cs="Times New Roman"/>
          <w:sz w:val="24"/>
          <w:szCs w:val="24"/>
          <w:highlight w:val="yellow"/>
          <w:rtl w:val="0"/>
        </w:rPr>
        <w:t>[Device Name]</w:t>
      </w:r>
      <w:r>
        <w:rPr>
          <w:rFonts w:ascii="Times New Roman" w:hAnsi="Times New Roman" w:eastAsia="Times New Roman" w:cs="Times New Roman"/>
          <w:sz w:val="24"/>
          <w:szCs w:val="24"/>
          <w:rtl w:val="0"/>
        </w:rPr>
        <w:t xml:space="preserve"> use</w:t>
      </w:r>
      <w:r>
        <w:rPr>
          <w:rFonts w:ascii="Times New Roman" w:hAnsi="Times New Roman" w:eastAsia="Times New Roman" w:cs="Times New Roman"/>
          <w:color w:val="FF0000"/>
          <w:sz w:val="24"/>
          <w:szCs w:val="24"/>
          <w:highlight w:val="yellow"/>
          <w:rtl w:val="0"/>
        </w:rPr>
        <w:t>($50 each Device, per Month)</w:t>
      </w:r>
    </w:p>
    <w:p w14:paraId="000000BA">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$X = XX miles at 67 cents per mile</w:t>
      </w:r>
    </w:p>
    <w:p w14:paraId="000000B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w:t>
      </w:r>
      <w:r>
        <w:rPr>
          <w:rFonts w:ascii="Times New Roman" w:hAnsi="Times New Roman" w:eastAsia="Times New Roman" w:cs="Times New Roman"/>
          <w:sz w:val="24"/>
          <w:szCs w:val="24"/>
          <w:highlight w:val="yellow"/>
          <w:rtl w:val="0"/>
        </w:rPr>
        <w:t>OTHER EXPENSES</w:t>
      </w:r>
    </w:p>
    <w:p w14:paraId="000000B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Attorney fees and costs</w:t>
      </w:r>
    </w:p>
    <w:p w14:paraId="000000B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w:t>
      </w:r>
      <w:r>
        <w:rPr>
          <w:rFonts w:ascii="Times New Roman" w:hAnsi="Times New Roman" w:eastAsia="Times New Roman" w:cs="Times New Roman"/>
          <w:sz w:val="24"/>
          <w:szCs w:val="24"/>
          <w:highlight w:val="yellow"/>
          <w:rtl w:val="0"/>
        </w:rPr>
        <w:t>Labor Violations Only = $10,000; less than $100,000 = $5-8,000; over $100,000 = $10,000)</w:t>
      </w:r>
    </w:p>
    <w:p w14:paraId="000000BE">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Punitive Damages, to be determined</w:t>
      </w:r>
    </w:p>
    <w:p w14:paraId="000000BF">
      <w:pPr>
        <w:spacing w:line="240" w:lineRule="auto"/>
        <w:jc w:val="both"/>
        <w:rPr>
          <w:rFonts w:ascii="Times New Roman" w:hAnsi="Times New Roman" w:eastAsia="Times New Roman" w:cs="Times New Roman"/>
          <w:sz w:val="24"/>
          <w:szCs w:val="24"/>
        </w:rPr>
      </w:pPr>
    </w:p>
    <w:p w14:paraId="000000C0">
      <w:pPr>
        <w:pStyle w:val="2"/>
        <w:numPr>
          <w:ilvl w:val="0"/>
          <w:numId w:val="3"/>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TOTAL: $XXX,XXX.00</w:t>
      </w:r>
    </w:p>
    <w:p w14:paraId="000000C1">
      <w:pPr>
        <w:pStyle w:val="2"/>
        <w:numPr>
          <w:ilvl w:val="0"/>
          <w:numId w:val="3"/>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Conclusion</w:t>
      </w:r>
    </w:p>
    <w:p w14:paraId="000000C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[MEDIATION: IF APPLICABLE]:</w:t>
      </w:r>
      <w:r>
        <w:rPr>
          <w:rFonts w:ascii="Times New Roman" w:hAnsi="Times New Roman" w:eastAsia="Times New Roman" w:cs="Times New Roman"/>
          <w:sz w:val="24"/>
          <w:szCs w:val="24"/>
          <w:rtl w:val="0"/>
        </w:rPr>
        <w:t xml:space="preserve"> At this point in the case, in an effort to resolve the matter before entering into costly and time-consuming litigation, </w:t>
      </w:r>
      <w:r>
        <w:rPr>
          <w:rFonts w:ascii="Times New Roman" w:hAnsi="Times New Roman" w:eastAsia="Times New Roman" w:cs="Times New Roman"/>
          <w:sz w:val="24"/>
          <w:szCs w:val="24"/>
          <w:highlight w:val="cyan"/>
          <w:rtl w:val="0"/>
        </w:rPr>
        <w:t>Mr./Ms./Mx. Last Name</w:t>
      </w:r>
      <w:r>
        <w:rPr>
          <w:rFonts w:ascii="Times New Roman" w:hAnsi="Times New Roman" w:eastAsia="Times New Roman" w:cs="Times New Roman"/>
          <w:sz w:val="24"/>
          <w:szCs w:val="24"/>
          <w:rtl w:val="0"/>
        </w:rPr>
        <w:t xml:space="preserve"> 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3">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ascii="Times New Roman" w:hAnsi="Times New Roman" w:eastAsia="Times New Roman" w:cs="Times New Roman"/>
          <w:b/>
          <w:sz w:val="24"/>
          <w:szCs w:val="24"/>
          <w:highlight w:val="cyan"/>
          <w:rtl w:val="0"/>
        </w:rPr>
        <w:t xml:space="preserve">[Date 3 weeks from date of draft] </w:t>
      </w:r>
      <w:r>
        <w:rPr>
          <w:rFonts w:ascii="Times New Roman" w:hAnsi="Times New Roman" w:eastAsia="Times New Roman" w:cs="Times New Roman"/>
          <w:sz w:val="24"/>
          <w:szCs w:val="24"/>
          <w:rtl w:val="0"/>
        </w:rPr>
        <w:t>whether you are interested in scheduling a half-day mediation with a neutral third-party mediator.</w:t>
      </w:r>
    </w:p>
    <w:p w14:paraId="000000C4">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{OR}</w:t>
      </w:r>
    </w:p>
    <w:p w14:paraId="000000C5">
      <w:pPr>
        <w:spacing w:line="240" w:lineRule="auto"/>
        <w:jc w:val="both"/>
        <w:rPr>
          <w:rFonts w:ascii="Times New Roman" w:hAnsi="Times New Roman" w:eastAsia="Times New Roman" w:cs="Times New Roman"/>
          <w:sz w:val="24"/>
          <w:szCs w:val="24"/>
        </w:rPr>
      </w:pPr>
    </w:p>
    <w:p w14:paraId="000000C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SETTLEMENT [IF DAMAGES AMOUNT IS LESS THAN $200,000.00]</w:t>
      </w:r>
      <w:r>
        <w:rPr>
          <w:rFonts w:ascii="Times New Roman" w:hAnsi="Times New Roman" w:eastAsia="Times New Roman" w:cs="Times New Roman"/>
          <w:sz w:val="24"/>
          <w:szCs w:val="24"/>
          <w:rtl w:val="0"/>
        </w:rPr>
        <w:t xml:space="preserve">: At this stage of the case, and in an effort to reach a resolution before engaging in costly and time-consuming litigation, </w:t>
      </w:r>
      <w:r>
        <w:rPr>
          <w:rFonts w:ascii="Times New Roman" w:hAnsi="Times New Roman" w:eastAsia="Times New Roman" w:cs="Times New Roman"/>
          <w:sz w:val="24"/>
          <w:szCs w:val="24"/>
          <w:highlight w:val="cyan"/>
          <w:rtl w:val="0"/>
        </w:rPr>
        <w:t>Mr./Ms./Mx. Last Name</w:t>
      </w:r>
      <w:r>
        <w:rPr>
          <w:rFonts w:ascii="Times New Roman" w:hAnsi="Times New Roman" w:eastAsia="Times New Roman" w:cs="Times New Roman"/>
          <w:sz w:val="24"/>
          <w:szCs w:val="24"/>
          <w:rtl w:val="0"/>
        </w:rPr>
        <w:t xml:space="preserve"> has authorized our office to extend a settlement offer of </w:t>
      </w:r>
      <w:r>
        <w:rPr>
          <w:rFonts w:ascii="Times New Roman" w:hAnsi="Times New Roman" w:eastAsia="Times New Roman" w:cs="Times New Roman"/>
          <w:b/>
          <w:sz w:val="24"/>
          <w:szCs w:val="24"/>
          <w:highlight w:val="cyan"/>
          <w:u w:val="single"/>
          <w:rtl w:val="0"/>
        </w:rPr>
        <w:t>$XXX.00</w:t>
      </w:r>
      <w:r>
        <w:rPr>
          <w:rFonts w:ascii="Times New Roman" w:hAnsi="Times New Roman" w:eastAsia="Times New Roman" w:cs="Times New Roman"/>
          <w:sz w:val="24"/>
          <w:szCs w:val="24"/>
          <w:rtl w:val="0"/>
        </w:rPr>
        <w:t xml:space="preserve"> to resolve their claims. As liability becomes clearer and witness testimony is further established, the value of this case will undoubtedly rise, leading to increased demands, along with accumulating attorneys' fees.</w:t>
      </w:r>
    </w:p>
    <w:p w14:paraId="000000C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we do not receive a serious settlement proposal from your office by </w:t>
      </w:r>
      <w:r>
        <w:rPr>
          <w:rFonts w:ascii="Times New Roman" w:hAnsi="Times New Roman" w:eastAsia="Times New Roman" w:cs="Times New Roman"/>
          <w:b/>
          <w:sz w:val="24"/>
          <w:szCs w:val="24"/>
          <w:u w:val="single"/>
          <w:rtl w:val="0"/>
        </w:rPr>
        <w:t>[Date 3 weeks from date of draft]</w:t>
      </w:r>
      <w:r>
        <w:rPr>
          <w:rFonts w:ascii="Times New Roman" w:hAnsi="Times New Roman" w:eastAsia="Times New Roman" w:cs="Times New Roman"/>
          <w:sz w:val="24"/>
          <w:szCs w:val="24"/>
          <w:rtl w:val="0"/>
        </w:rPr>
        <w:t>, this offer will be permanently withdrawn.</w:t>
      </w:r>
    </w:p>
    <w:p w14:paraId="000000C8">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(BOTH - IF DAMAGES ARE $200,000.00 OR HIGHER)</w:t>
      </w:r>
    </w:p>
    <w:p w14:paraId="000000C9">
      <w:pPr>
        <w:spacing w:line="240" w:lineRule="auto"/>
        <w:jc w:val="both"/>
        <w:rPr>
          <w:rFonts w:ascii="Times New Roman" w:hAnsi="Times New Roman" w:eastAsia="Times New Roman" w:cs="Times New Roman"/>
          <w:sz w:val="24"/>
          <w:szCs w:val="24"/>
        </w:rPr>
      </w:pPr>
    </w:p>
    <w:p w14:paraId="000000C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 this point in the case, in an effort to resolve the matter before entering into costly and time-consuming litigation, </w:t>
      </w:r>
      <w:r>
        <w:rPr>
          <w:rFonts w:ascii="Times New Roman" w:hAnsi="Times New Roman" w:eastAsia="Times New Roman" w:cs="Times New Roman"/>
          <w:b/>
          <w:sz w:val="24"/>
          <w:szCs w:val="24"/>
          <w:highlight w:val="cyan"/>
          <w:rtl w:val="0"/>
        </w:rPr>
        <w:t>Mr./Ms./Mx. Last Name</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B">
      <w:pPr>
        <w:spacing w:line="240" w:lineRule="auto"/>
        <w:jc w:val="both"/>
        <w:rPr>
          <w:rFonts w:ascii="Times New Roman" w:hAnsi="Times New Roman" w:eastAsia="Times New Roman" w:cs="Times New Roman"/>
          <w:sz w:val="24"/>
          <w:szCs w:val="24"/>
        </w:rPr>
      </w:pPr>
    </w:p>
    <w:p w14:paraId="000000C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Alternatively, </w:t>
      </w:r>
      <w:r>
        <w:rPr>
          <w:rFonts w:ascii="Times New Roman" w:hAnsi="Times New Roman" w:eastAsia="Times New Roman" w:cs="Times New Roman"/>
          <w:sz w:val="24"/>
          <w:szCs w:val="24"/>
          <w:highlight w:val="cyan"/>
          <w:rtl w:val="0"/>
        </w:rPr>
        <w:t>***Mr./Ms.***</w:t>
      </w:r>
      <w:r>
        <w:rPr>
          <w:rFonts w:ascii="Times New Roman" w:hAnsi="Times New Roman" w:eastAsia="Times New Roman" w:cs="Times New Roman"/>
          <w:sz w:val="24"/>
          <w:szCs w:val="24"/>
          <w:rtl w:val="0"/>
        </w:rPr>
        <w:t xml:space="preserve"> has authorized our office to offer the settlement of her claims for </w:t>
      </w:r>
      <w:r>
        <w:rPr>
          <w:rFonts w:ascii="Times New Roman" w:hAnsi="Times New Roman" w:eastAsia="Times New Roman" w:cs="Times New Roman"/>
          <w:b/>
          <w:sz w:val="24"/>
          <w:szCs w:val="24"/>
          <w:u w:val="single"/>
          <w:rtl w:val="0"/>
        </w:rPr>
        <w:t>a one-time payment of $</w:t>
      </w:r>
      <w:r>
        <w:rPr>
          <w:rFonts w:ascii="Times New Roman" w:hAnsi="Times New Roman" w:eastAsia="Times New Roman" w:cs="Times New Roman"/>
          <w:b/>
          <w:sz w:val="24"/>
          <w:szCs w:val="24"/>
          <w:highlight w:val="cyan"/>
          <w:u w:val="single"/>
          <w:rtl w:val="0"/>
        </w:rPr>
        <w:t>XXXX</w:t>
      </w:r>
      <w:r>
        <w:rPr>
          <w:rFonts w:ascii="Times New Roman" w:hAnsi="Times New Roman" w:eastAsia="Times New Roman" w:cs="Times New Roman"/>
          <w:sz w:val="24"/>
          <w:szCs w:val="24"/>
          <w:rtl w:val="0"/>
        </w:rPr>
        <w:t>.</w:t>
      </w:r>
    </w:p>
    <w:p w14:paraId="000000CD">
      <w:pPr>
        <w:spacing w:before="240"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ascii="Times New Roman" w:hAnsi="Times New Roman" w:eastAsia="Times New Roman" w:cs="Times New Roman"/>
          <w:b/>
          <w:sz w:val="24"/>
          <w:szCs w:val="24"/>
          <w:highlight w:val="cyan"/>
          <w:rtl w:val="0"/>
        </w:rPr>
        <w:t xml:space="preserve">[Date 3 weeks from date of draft] </w:t>
      </w:r>
      <w:r>
        <w:rPr>
          <w:rFonts w:ascii="Times New Roman" w:hAnsi="Times New Roman" w:eastAsia="Times New Roman" w:cs="Times New Roman"/>
          <w:sz w:val="24"/>
          <w:szCs w:val="24"/>
          <w:rtl w:val="0"/>
        </w:rPr>
        <w:t>whether you are interested in scheduling a half-day mediation with a neutral third-party mediator or informal negotiations.</w:t>
      </w:r>
    </w:p>
    <w:p w14:paraId="000000CE">
      <w:pPr>
        <w:spacing w:line="240" w:lineRule="auto"/>
        <w:jc w:val="both"/>
        <w:rPr>
          <w:rFonts w:ascii="Times New Roman" w:hAnsi="Times New Roman" w:eastAsia="Times New Roman" w:cs="Times New Roman"/>
          <w:sz w:val="24"/>
          <w:szCs w:val="24"/>
        </w:rPr>
      </w:pPr>
      <w:r>
        <w:br w:type="page"/>
      </w:r>
    </w:p>
    <w:p w14:paraId="000000CF">
      <w:pPr>
        <w:spacing w:line="24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Evidence Preservation &amp; Demand for Employment File</w:t>
      </w:r>
    </w:p>
    <w:p w14:paraId="000000D0">
      <w:pPr>
        <w:spacing w:line="240" w:lineRule="auto"/>
        <w:rPr>
          <w:rFonts w:ascii="Times New Roman" w:hAnsi="Times New Roman" w:eastAsia="Times New Roman" w:cs="Times New Roman"/>
          <w:sz w:val="24"/>
          <w:szCs w:val="24"/>
        </w:rPr>
      </w:pPr>
    </w:p>
    <w:p w14:paraId="000000D1">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The remainder of this letter is intended to inform you of the following legal obligations that Defendant is required to comply with: </w:t>
      </w:r>
      <w:r>
        <w:rPr>
          <w:rFonts w:ascii="Times New Roman" w:hAnsi="Times New Roman" w:eastAsia="Times New Roman" w:cs="Times New Roman"/>
          <w:b/>
          <w:sz w:val="24"/>
          <w:szCs w:val="24"/>
          <w:rtl w:val="0"/>
        </w:rPr>
        <w:t>(1) evidence preservation; (2) production of our client’s employee records; and (3) notice of lien.</w:t>
      </w:r>
    </w:p>
    <w:p w14:paraId="000000D2">
      <w:pPr>
        <w:spacing w:line="240" w:lineRule="auto"/>
        <w:rPr>
          <w:rFonts w:ascii="Times New Roman" w:hAnsi="Times New Roman" w:eastAsia="Times New Roman" w:cs="Times New Roman"/>
          <w:b/>
          <w:sz w:val="24"/>
          <w:szCs w:val="24"/>
          <w:u w:val="single"/>
        </w:rPr>
      </w:pPr>
    </w:p>
    <w:p w14:paraId="000000D3">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Evidence Preservation</w:t>
      </w:r>
    </w:p>
    <w:p w14:paraId="000000D4">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Given pending litigation, this letter serves to remind you of your obligation under California law to preserve evidence and instructs you to adhere to those requirements.</w:t>
      </w:r>
    </w:p>
    <w:p w14:paraId="000000D5">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Under discovery rules, Defendant has a duty to preserve any potentially relevant evidence when litigation is reasonably anticipated. Accordingly, </w:t>
      </w:r>
      <w:r>
        <w:rPr>
          <w:rFonts w:ascii="Times New Roman" w:hAnsi="Times New Roman" w:eastAsia="Times New Roman" w:cs="Times New Roman"/>
          <w:b/>
          <w:sz w:val="24"/>
          <w:szCs w:val="24"/>
          <w:highlight w:val="cyan"/>
          <w:rtl w:val="0"/>
        </w:rPr>
        <w:t>[COMPANY NAME]</w:t>
      </w:r>
      <w:r>
        <w:rPr>
          <w:rFonts w:ascii="Times New Roman" w:hAnsi="Times New Roman" w:eastAsia="Times New Roman" w:cs="Times New Roman"/>
          <w:sz w:val="24"/>
          <w:szCs w:val="24"/>
          <w:rtl w:val="0"/>
        </w:rPr>
        <w:t xml:space="preserve"> is required to preserve all documents and materials related to </w:t>
      </w:r>
      <w:r>
        <w:rPr>
          <w:rFonts w:ascii="Times New Roman" w:hAnsi="Times New Roman" w:eastAsia="Times New Roman" w:cs="Times New Roman"/>
          <w:b/>
          <w:sz w:val="24"/>
          <w:szCs w:val="24"/>
          <w:highlight w:val="cyan"/>
          <w:rtl w:val="0"/>
        </w:rPr>
        <w:t>[CLIENT NAME]</w:t>
      </w:r>
      <w:r>
        <w:rPr>
          <w:rFonts w:ascii="Times New Roman" w:hAnsi="Times New Roman" w:eastAsia="Times New Roman" w:cs="Times New Roman"/>
          <w:sz w:val="24"/>
          <w:szCs w:val="24"/>
          <w:rtl w:val="0"/>
        </w:rPr>
        <w:t>.</w:t>
      </w:r>
    </w:p>
    <w:p w14:paraId="000000D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p>
    <w:p w14:paraId="000000D7">
      <w:pPr>
        <w:spacing w:line="240" w:lineRule="auto"/>
        <w:jc w:val="both"/>
        <w:rPr>
          <w:rFonts w:ascii="Times New Roman" w:hAnsi="Times New Roman" w:eastAsia="Times New Roman" w:cs="Times New Roman"/>
          <w:sz w:val="24"/>
          <w:szCs w:val="24"/>
        </w:rPr>
      </w:pPr>
    </w:p>
    <w:p w14:paraId="000000D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w:t>
      </w:r>
    </w:p>
    <w:p w14:paraId="000000D9">
      <w:pPr>
        <w:spacing w:line="240" w:lineRule="auto"/>
        <w:jc w:val="both"/>
        <w:rPr>
          <w:rFonts w:ascii="Times New Roman" w:hAnsi="Times New Roman" w:eastAsia="Times New Roman" w:cs="Times New Roman"/>
          <w:sz w:val="24"/>
          <w:szCs w:val="24"/>
        </w:rPr>
      </w:pPr>
    </w:p>
    <w:p w14:paraId="000000D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Plaintiff reserves the right to seek all available remedies, including damages and evidentiary and monetary sanctions, should Defendant fail to take steps to preserve such information.</w:t>
      </w:r>
    </w:p>
    <w:p w14:paraId="000000DB">
      <w:pPr>
        <w:spacing w:line="240" w:lineRule="auto"/>
        <w:rPr>
          <w:rFonts w:ascii="Times New Roman" w:hAnsi="Times New Roman" w:eastAsia="Times New Roman" w:cs="Times New Roman"/>
          <w:sz w:val="24"/>
          <w:szCs w:val="24"/>
        </w:rPr>
      </w:pPr>
    </w:p>
    <w:p w14:paraId="000000DC">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Demand for Employment File</w:t>
      </w:r>
    </w:p>
    <w:p w14:paraId="000000DD">
      <w:pPr>
        <w:spacing w:line="240" w:lineRule="auto"/>
        <w:rPr>
          <w:rFonts w:ascii="Times New Roman" w:hAnsi="Times New Roman" w:eastAsia="Times New Roman" w:cs="Times New Roman"/>
          <w:b/>
          <w:sz w:val="24"/>
          <w:szCs w:val="24"/>
        </w:rPr>
      </w:pPr>
    </w:p>
    <w:p w14:paraId="000000DE">
      <w:pPr>
        <w:shd w:val="clear" w:fill="FFFFFF"/>
        <w:spacing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Time and Pay Records</w:t>
      </w:r>
    </w:p>
    <w:p w14:paraId="000000DF">
      <w:pPr>
        <w:shd w:val="clear" w:fill="FFFFFF"/>
        <w:spacing w:line="240" w:lineRule="auto"/>
        <w:rPr>
          <w:rFonts w:ascii="Times New Roman" w:hAnsi="Times New Roman" w:eastAsia="Times New Roman" w:cs="Times New Roman"/>
          <w:sz w:val="24"/>
          <w:szCs w:val="24"/>
        </w:rPr>
      </w:pPr>
    </w:p>
    <w:p w14:paraId="000000E0">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p>
    <w:p w14:paraId="000000E1">
      <w:pPr>
        <w:shd w:val="clear" w:fill="FFFFFF"/>
        <w:spacing w:line="240" w:lineRule="auto"/>
        <w:jc w:val="both"/>
        <w:rPr>
          <w:rFonts w:ascii="Times New Roman" w:hAnsi="Times New Roman" w:eastAsia="Times New Roman" w:cs="Times New Roman"/>
          <w:sz w:val="24"/>
          <w:szCs w:val="24"/>
        </w:rPr>
      </w:pPr>
    </w:p>
    <w:p w14:paraId="000000E2">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Labor Code § 226, employers must provide former employees with access to these records "as soon as practicable," but no later than 21 days after a request. Failure to do so entitles the employee to a $750 penalty.</w:t>
      </w:r>
    </w:p>
    <w:p w14:paraId="000000E3">
      <w:pPr>
        <w:shd w:val="clear" w:fill="FFFFFF"/>
        <w:spacing w:line="240" w:lineRule="auto"/>
        <w:rPr>
          <w:rFonts w:ascii="Times New Roman" w:hAnsi="Times New Roman" w:eastAsia="Times New Roman" w:cs="Times New Roman"/>
          <w:sz w:val="24"/>
          <w:szCs w:val="24"/>
        </w:rPr>
      </w:pPr>
    </w:p>
    <w:p w14:paraId="000000E4">
      <w:pPr>
        <w:shd w:val="clear"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Personnel Records</w:t>
      </w:r>
    </w:p>
    <w:p w14:paraId="000000E5">
      <w:pPr>
        <w:shd w:val="clear" w:fill="FFFFFF"/>
        <w:spacing w:line="240" w:lineRule="auto"/>
        <w:rPr>
          <w:rFonts w:ascii="Times New Roman" w:hAnsi="Times New Roman" w:eastAsia="Times New Roman" w:cs="Times New Roman"/>
          <w:sz w:val="24"/>
          <w:szCs w:val="24"/>
        </w:rPr>
      </w:pPr>
    </w:p>
    <w:p w14:paraId="000000E6">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w:t>
      </w:r>
    </w:p>
    <w:p w14:paraId="000000E7">
      <w:pPr>
        <w:shd w:val="clear" w:fill="FFFFFF"/>
        <w:spacing w:line="240" w:lineRule="auto"/>
        <w:jc w:val="both"/>
        <w:rPr>
          <w:rFonts w:ascii="Times New Roman" w:hAnsi="Times New Roman" w:eastAsia="Times New Roman" w:cs="Times New Roman"/>
          <w:sz w:val="24"/>
          <w:szCs w:val="24"/>
        </w:rPr>
      </w:pPr>
    </w:p>
    <w:p w14:paraId="000000E8">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14:paraId="000000E9">
      <w:pPr>
        <w:spacing w:line="240" w:lineRule="auto"/>
        <w:rPr>
          <w:rFonts w:ascii="Times New Roman" w:hAnsi="Times New Roman" w:eastAsia="Times New Roman" w:cs="Times New Roman"/>
          <w:b/>
          <w:sz w:val="24"/>
          <w:szCs w:val="24"/>
        </w:rPr>
      </w:pPr>
    </w:p>
    <w:p w14:paraId="000000EA">
      <w:pPr>
        <w:numPr>
          <w:ilvl w:val="0"/>
          <w:numId w:val="4"/>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Notice of Lien</w:t>
      </w:r>
    </w:p>
    <w:p w14:paraId="000000EB">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14:paraId="000000E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look forward to receiving the requested documents promptly. Please reach out if you have any questions or wish to discuss this matter further. </w:t>
      </w:r>
      <w:r>
        <w:rPr>
          <w:rFonts w:ascii="Times New Roman" w:hAnsi="Times New Roman" w:eastAsia="Times New Roman" w:cs="Times New Roman"/>
          <w:b/>
          <w:sz w:val="24"/>
          <w:szCs w:val="24"/>
          <w:rtl w:val="0"/>
        </w:rPr>
        <w:t>Our phone number is (818) 900-6255 and</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my email is hassanhalawi@legalcorner.com.</w:t>
      </w:r>
      <w:r>
        <w:drawing>
          <wp:anchor distT="114300" distB="114300" distL="114300" distR="114300" simplePos="0" relativeHeight="251659264" behindDoc="1" locked="0" layoutInCell="1" allowOverlap="1">
            <wp:simplePos x="0" y="0"/>
            <wp:positionH relativeFrom="column">
              <wp:posOffset>0</wp:posOffset>
            </wp:positionH>
            <wp:positionV relativeFrom="paragraph">
              <wp:posOffset>790575</wp:posOffset>
            </wp:positionV>
            <wp:extent cx="1862455" cy="944880"/>
            <wp:effectExtent l="0" t="0" r="0" b="0"/>
            <wp:wrapNone/>
            <wp:docPr id="1001"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1862138" cy="944761"/>
                    </a:xfrm>
                    <a:prstGeom prst="rect">
                      <a:avLst/>
                    </a:prstGeom>
                  </pic:spPr>
                </pic:pic>
              </a:graphicData>
            </a:graphic>
          </wp:anchor>
        </w:drawing>
      </w:r>
    </w:p>
    <w:p w14:paraId="000000ED">
      <w:pPr>
        <w:spacing w:line="240" w:lineRule="auto"/>
        <w:rPr>
          <w:rFonts w:ascii="Times New Roman" w:hAnsi="Times New Roman" w:eastAsia="Times New Roman" w:cs="Times New Roman"/>
          <w:sz w:val="24"/>
          <w:szCs w:val="24"/>
        </w:rPr>
      </w:pPr>
    </w:p>
    <w:p w14:paraId="000000EE">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Sincerely,</w:t>
      </w:r>
    </w:p>
    <w:p w14:paraId="000000EF">
      <w:pPr>
        <w:keepNext/>
        <w:keepLines/>
        <w:spacing w:line="240" w:lineRule="auto"/>
        <w:rPr>
          <w:rFonts w:ascii="Times New Roman" w:hAnsi="Times New Roman" w:eastAsia="Times New Roman" w:cs="Times New Roman"/>
          <w:sz w:val="24"/>
          <w:szCs w:val="24"/>
        </w:rPr>
      </w:pPr>
    </w:p>
    <w:p w14:paraId="000000F0">
      <w:pPr>
        <w:keepNext/>
        <w:keepLines/>
        <w:spacing w:line="240" w:lineRule="auto"/>
        <w:rPr>
          <w:rFonts w:ascii="Times New Roman" w:hAnsi="Times New Roman" w:eastAsia="Times New Roman" w:cs="Times New Roman"/>
          <w:sz w:val="24"/>
          <w:szCs w:val="24"/>
        </w:rPr>
      </w:pPr>
    </w:p>
    <w:p w14:paraId="000000F1">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w:t>
      </w:r>
    </w:p>
    <w:p w14:paraId="000000F2">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Halawi,  Esq.</w:t>
      </w:r>
    </w:p>
    <w:p w14:paraId="000000F3">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LEGAL CORNER LAW OFFICE</w:t>
      </w:r>
    </w:p>
    <w:p w14:paraId="000000F4">
      <w:pPr>
        <w:jc w:val="both"/>
        <w:rPr>
          <w:rFonts w:ascii="Times New Roman" w:hAnsi="Times New Roman" w:eastAsia="Times New Roman" w:cs="Times New Roman"/>
          <w:sz w:val="24"/>
          <w:szCs w:val="24"/>
        </w:rPr>
      </w:pPr>
    </w:p>
    <w:sectPr>
      <w:headerReference r:id="rId5" w:type="default"/>
      <w:footerReference r:id="rId6" w:type="default"/>
      <w:pgSz w:w="12240" w:h="15840"/>
      <w:pgMar w:top="1440" w:right="1440" w:bottom="1440" w:left="1440" w:header="216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6">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________________________________________________________________________________________________________</w:t>
    </w:r>
  </w:p>
  <w:p w14:paraId="000000F7">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550 N BRAND BLVD. SUITE 1670, GLENDALE, CA 91203</w:t>
    </w:r>
  </w:p>
  <w:p w14:paraId="000000F8">
    <w:pPr>
      <w:spacing w:line="240" w:lineRule="auto"/>
      <w:jc w:val="center"/>
      <w:rPr>
        <w:rFonts w:ascii="Garamond" w:hAnsi="Garamond" w:eastAsia="Garamond" w:cs="Garamond"/>
        <w:smallCaps/>
        <w:sz w:val="18"/>
        <w:szCs w:val="18"/>
      </w:rPr>
    </w:pPr>
    <w:r>
      <w:rPr>
        <w:rFonts w:ascii="Garamond" w:hAnsi="Garamond" w:eastAsia="Garamond" w:cs="Garamond"/>
        <w:smallCaps/>
        <w:color w:val="0070C0"/>
        <w:sz w:val="18"/>
        <w:szCs w:val="18"/>
        <w:rtl w:val="0"/>
      </w:rPr>
      <w:t xml:space="preserve">T </w:t>
    </w:r>
    <w:r>
      <w:rPr>
        <w:rFonts w:ascii="Garamond" w:hAnsi="Garamond" w:eastAsia="Garamond" w:cs="Garamond"/>
        <w:smallCaps/>
        <w:sz w:val="18"/>
        <w:szCs w:val="18"/>
        <w:rtl w:val="0"/>
      </w:rPr>
      <w:t xml:space="preserve">(818)900-6255  </w:t>
    </w:r>
    <w:r>
      <w:rPr>
        <w:rFonts w:ascii="Garamond" w:hAnsi="Garamond" w:eastAsia="Garamond" w:cs="Garamond"/>
        <w:smallCaps/>
        <w:color w:val="0070C0"/>
        <w:sz w:val="18"/>
        <w:szCs w:val="18"/>
        <w:rtl w:val="0"/>
      </w:rPr>
      <w:t>E</w:t>
    </w:r>
    <w:r>
      <w:rPr>
        <w:rFonts w:ascii="Garamond" w:hAnsi="Garamond" w:eastAsia="Garamond" w:cs="Garamond"/>
        <w:smallCaps/>
        <w:sz w:val="18"/>
        <w:szCs w:val="18"/>
        <w:rtl w:val="0"/>
      </w:rPr>
      <w:t xml:space="preserve"> EMPLOYMENT@LEGALCORNER.COM</w:t>
    </w:r>
  </w:p>
  <w:p w14:paraId="000000F9">
    <w:pPr>
      <w:spacing w:line="240" w:lineRule="auto"/>
      <w:jc w:val="right"/>
      <w:rPr>
        <w:rFonts w:ascii="Garamond" w:hAnsi="Garamond" w:eastAsia="Garamond" w:cs="Garamond"/>
        <w:smallCaps/>
        <w:sz w:val="18"/>
        <w:szCs w:val="18"/>
      </w:rPr>
    </w:pPr>
    <w:r>
      <w:rPr>
        <w:rFonts w:ascii="Garamond" w:hAnsi="Garamond" w:eastAsia="Garamond" w:cs="Garamond"/>
        <w:smallCaps/>
        <w:sz w:val="18"/>
        <w:szCs w:val="18"/>
      </w:rPr>
      <w:fldChar w:fldCharType="begin"/>
    </w:r>
    <w:r>
      <w:rPr>
        <w:rFonts w:ascii="Garamond" w:hAnsi="Garamond" w:eastAsia="Garamond" w:cs="Garamond"/>
        <w:smallCaps/>
        <w:sz w:val="18"/>
        <w:szCs w:val="18"/>
      </w:rPr>
      <w:instrText xml:space="preserve">PAGE</w:instrText>
    </w:r>
    <w:r>
      <w:rPr>
        <w:rFonts w:ascii="Garamond" w:hAnsi="Garamond" w:eastAsia="Garamond" w:cs="Garamond"/>
        <w:smallCaps/>
        <w:sz w:val="18"/>
        <w:szCs w:val="18"/>
      </w:rPr>
      <w:fldChar w:fldCharType="separate"/>
    </w:r>
    <w:r>
      <w:rPr>
        <w:rFonts w:ascii="Garamond" w:hAnsi="Garamond" w:eastAsia="Garamond" w:cs="Garamond"/>
        <w:small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5">
    <w:r>
      <w:drawing>
        <wp:anchor distT="0" distB="0" distL="0" distR="0" simplePos="0" relativeHeight="251659264" behindDoc="1" locked="0" layoutInCell="1" allowOverlap="1">
          <wp:simplePos x="0" y="0"/>
          <wp:positionH relativeFrom="column">
            <wp:posOffset>2190750</wp:posOffset>
          </wp:positionH>
          <wp:positionV relativeFrom="paragraph">
            <wp:posOffset>-1189990</wp:posOffset>
          </wp:positionV>
          <wp:extent cx="1562100" cy="922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562100" cy="9220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
      <w:lvlJc w:val="left"/>
      <w:pPr>
        <w:ind w:left="0" w:firstLine="0"/>
      </w:pPr>
      <w:rPr>
        <w:u w:val="none"/>
      </w:rPr>
    </w:lvl>
    <w:lvl w:ilvl="1" w:tentative="0">
      <w:start w:val="1"/>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decimal"/>
      <w:lvlText w:val=""/>
      <w:lvlJc w:val="left"/>
      <w:pPr>
        <w:ind w:left="0" w:firstLine="0"/>
      </w:pPr>
      <w:rPr>
        <w:u w:val="none"/>
      </w:rPr>
    </w:lvl>
    <w:lvl w:ilvl="1" w:tentative="0">
      <w:start w:val="7"/>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
  <w:rsids>
    <w:rsidRoot w:val="00000000"/>
    <w:rsid w:val="04B57184"/>
    <w:rsid w:val="05280385"/>
    <w:rsid w:val="282E547B"/>
    <w:rsid w:val="31D145DD"/>
    <w:rsid w:val="38131824"/>
    <w:rsid w:val="420B4BA2"/>
    <w:rsid w:val="5278042A"/>
    <w:rsid w:val="619A462F"/>
    <w:rsid w:val="6ADB71A7"/>
    <w:rsid w:val="6E8D5F70"/>
    <w:rsid w:val="77F06FB3"/>
    <w:rsid w:val="7E797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21</Pages>
  <Words>9226</Words>
  <Characters>48395</Characters>
  <Lines>1</Lines>
  <Paragraphs>1</Paragraphs>
  <TotalTime>12</TotalTime>
  <ScaleCrop>false</ScaleCrop>
  <LinksUpToDate>false</LinksUpToDate>
  <CharactersWithSpaces>57468</CharactersWithSpaces>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2025-04-06T07:11:00Z</dcterms:created>
  <dc:creator>uz789</dc:creator>
  <cp:lastModifiedBy>Zulqar Nain</cp:lastModifiedBy>
  <dcterms:modified xsi:type="dcterms:W3CDTF">2025-04-06T10:25:02Z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C1C8F2856CD644AEACC234C2350B1BEA_12</vt:lpwstr>
  </property>
</Properties>
</file>