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67263" cy="12670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7263" cy="1267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contextualSpacing w:val="0"/>
        <w:jc w:val="center"/>
        <w:rPr>
          <w:color w:val="4a86e8"/>
        </w:rPr>
      </w:pPr>
      <w:bookmarkStart w:colFirst="0" w:colLast="0" w:name="_xt78jao7zyiq" w:id="0"/>
      <w:bookmarkEnd w:id="0"/>
      <w:r w:rsidDel="00000000" w:rsidR="00000000" w:rsidRPr="00000000">
        <w:rPr>
          <w:color w:val="4a86e8"/>
          <w:rtl w:val="0"/>
        </w:rPr>
        <w:t xml:space="preserve">Proveedores BI: Microsoft and Salesforce</w:t>
      </w:r>
    </w:p>
    <w:p w:rsidR="00000000" w:rsidDel="00000000" w:rsidP="00000000" w:rsidRDefault="00000000" w:rsidRPr="00000000" w14:paraId="0000001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contextualSpacing w:val="0"/>
        <w:jc w:val="cente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Alejandra Irigoyen</w:t>
        <w:tab/>
        <w:t xml:space="preserve"> A00815792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contextualSpacing w:val="0"/>
        <w:jc w:val="cente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Andrés Álvarez</w:t>
        <w:tab/>
        <w:t xml:space="preserve">A00813787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contextualSpacing w:val="0"/>
        <w:jc w:val="cente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Carmelo Ramírez </w:t>
        <w:tab/>
        <w:t xml:space="preserve">A01175987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contextualSpacing w:val="0"/>
        <w:jc w:val="center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Alan Rodríguez</w:t>
        <w:tab/>
        <w:t xml:space="preserve">A01280676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widowControl w:val="0"/>
        <w:spacing w:line="240" w:lineRule="auto"/>
        <w:contextualSpacing w:val="0"/>
        <w:jc w:val="both"/>
        <w:rPr>
          <w:color w:val="4a86e8"/>
        </w:rPr>
      </w:pPr>
      <w:bookmarkStart w:colFirst="0" w:colLast="0" w:name="_c3jrwjr8qwl6" w:id="1"/>
      <w:bookmarkEnd w:id="1"/>
      <w:r w:rsidDel="00000000" w:rsidR="00000000" w:rsidRPr="00000000">
        <w:rPr>
          <w:color w:val="4a86e8"/>
          <w:rtl w:val="0"/>
        </w:rPr>
        <w:t xml:space="preserve">Comparación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Trayectoria en el cuadrante mágico de Gartner en el tiempo.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2017</w:t>
      </w:r>
      <w:r w:rsidDel="00000000" w:rsidR="00000000" w:rsidRPr="00000000">
        <w:rPr>
          <w:sz w:val="20"/>
          <w:szCs w:val="20"/>
          <w:rtl w:val="0"/>
        </w:rPr>
        <w:t xml:space="preserve">: Líder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</w:t>
      </w:r>
      <w:r w:rsidDel="00000000" w:rsidR="00000000" w:rsidRPr="00000000">
        <w:rPr>
          <w:sz w:val="20"/>
          <w:szCs w:val="20"/>
          <w:rtl w:val="0"/>
        </w:rPr>
        <w:t xml:space="preserve">: Líder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2015</w:t>
      </w:r>
      <w:r w:rsidDel="00000000" w:rsidR="00000000" w:rsidRPr="00000000">
        <w:rPr>
          <w:sz w:val="20"/>
          <w:szCs w:val="20"/>
          <w:rtl w:val="0"/>
        </w:rPr>
        <w:t xml:space="preserve">: Líder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Salesforce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2017</w:t>
      </w:r>
      <w:r w:rsidDel="00000000" w:rsidR="00000000" w:rsidRPr="00000000">
        <w:rPr>
          <w:sz w:val="20"/>
          <w:szCs w:val="20"/>
          <w:rtl w:val="0"/>
        </w:rPr>
        <w:t xml:space="preserve">: Visionario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2016</w:t>
      </w:r>
      <w:r w:rsidDel="00000000" w:rsidR="00000000" w:rsidRPr="00000000">
        <w:rPr>
          <w:sz w:val="20"/>
          <w:szCs w:val="20"/>
          <w:rtl w:val="0"/>
        </w:rPr>
        <w:t xml:space="preserve">: Niche Player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2015</w:t>
      </w:r>
      <w:r w:rsidDel="00000000" w:rsidR="00000000" w:rsidRPr="00000000">
        <w:rPr>
          <w:sz w:val="20"/>
          <w:szCs w:val="20"/>
          <w:rtl w:val="0"/>
        </w:rPr>
        <w:t xml:space="preserve">: No apareció en el cuadrante mágico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Historia en el tiempo como proveedor de TI y de soluciones de BI. Incluir adquisiciones en el tiempo.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País de origen y sus iniciadores (fundadores)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País de origen: </w:t>
      </w:r>
      <w:r w:rsidDel="00000000" w:rsidR="00000000" w:rsidRPr="00000000">
        <w:rPr>
          <w:sz w:val="20"/>
          <w:szCs w:val="20"/>
          <w:rtl w:val="0"/>
        </w:rPr>
        <w:t xml:space="preserve">Estados Unidos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Fundadores:</w:t>
      </w:r>
    </w:p>
    <w:p w:rsidR="00000000" w:rsidDel="00000000" w:rsidP="00000000" w:rsidRDefault="00000000" w:rsidRPr="00000000" w14:paraId="00000035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Bill Gates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Paul Allen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Salesforce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País de origen: </w:t>
      </w:r>
      <w:r w:rsidDel="00000000" w:rsidR="00000000" w:rsidRPr="00000000">
        <w:rPr>
          <w:sz w:val="20"/>
          <w:szCs w:val="20"/>
          <w:rtl w:val="0"/>
        </w:rPr>
        <w:t xml:space="preserve">Estados Unidos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Fundadores:</w:t>
      </w:r>
    </w:p>
    <w:p w:rsidR="00000000" w:rsidDel="00000000" w:rsidP="00000000" w:rsidRDefault="00000000" w:rsidRPr="00000000" w14:paraId="0000003A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Marc Benioff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Parker Harris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Soluciones que ofrece relacionadas con BI.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 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Azure SQL Database</w:t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Azure Database for MySQL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Azure Database for PostgreSQL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Azure Cosmo DB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Salesforce</w:t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SalesCloud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Service Cloud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Marketing Cloud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Salesforce Plataform</w:t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Commerce Cloud Digital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Soluciones que ofrece de productos de BI.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SQL Server Analysis Services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Azure Analysis Services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SQL Server Reporting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Power BI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HDInsight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Salesforce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Einstein Analytics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Sales Analytics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Service Analytics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Fuerzas y precauciones que revela Gartner en el artículo relacionados a sus productos y servicios de BI.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Fuerzas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Costo</w:t>
      </w:r>
      <w:r w:rsidDel="00000000" w:rsidR="00000000" w:rsidRPr="00000000">
        <w:rPr>
          <w:sz w:val="20"/>
          <w:szCs w:val="20"/>
          <w:rtl w:val="0"/>
        </w:rPr>
        <w:t xml:space="preserve">: bajo costo de productos, suscripciones y servicios de BI.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Facilidad de uso y análisis complejo:</w:t>
      </w:r>
      <w:r w:rsidDel="00000000" w:rsidR="00000000" w:rsidRPr="00000000">
        <w:rPr>
          <w:sz w:val="20"/>
          <w:szCs w:val="20"/>
          <w:rtl w:val="0"/>
        </w:rPr>
        <w:t xml:space="preserve"> Muy bien calificado por clientes en cuanto a facilidad de uso y facilidad de realizar análisis complejos.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Visión</w:t>
      </w:r>
      <w:r w:rsidDel="00000000" w:rsidR="00000000" w:rsidRPr="00000000">
        <w:rPr>
          <w:sz w:val="20"/>
          <w:szCs w:val="20"/>
          <w:rtl w:val="0"/>
        </w:rPr>
        <w:t xml:space="preserve">: Creación e innovación en productos de BI.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Comunidad activa</w:t>
      </w:r>
      <w:r w:rsidDel="00000000" w:rsidR="00000000" w:rsidRPr="00000000">
        <w:rPr>
          <w:sz w:val="20"/>
          <w:szCs w:val="20"/>
          <w:rtl w:val="0"/>
        </w:rPr>
        <w:t xml:space="preserve">: Comunidad fuerte de socios, distribuidores y usuarios en sus productos y servicios de BI.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Precauciones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Inmadurez de producto y solo en la nube</w:t>
      </w:r>
      <w:r w:rsidDel="00000000" w:rsidR="00000000" w:rsidRPr="00000000">
        <w:rPr>
          <w:sz w:val="20"/>
          <w:szCs w:val="20"/>
          <w:rtl w:val="0"/>
        </w:rPr>
        <w:t xml:space="preserve">: funcionalidad débil en ciertas tarea y en manejar grandes volúmenes de datos.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Amplitud de uso</w:t>
      </w:r>
      <w:r w:rsidDel="00000000" w:rsidR="00000000" w:rsidRPr="00000000">
        <w:rPr>
          <w:sz w:val="20"/>
          <w:szCs w:val="20"/>
          <w:rtl w:val="0"/>
        </w:rPr>
        <w:t xml:space="preserve">: No se le da una gran amplitud de uso para diferentes tareas; se utiliza principalmente para crear reportes parametrizados y dashboards.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Soporte</w:t>
      </w:r>
      <w:r w:rsidDel="00000000" w:rsidR="00000000" w:rsidRPr="00000000">
        <w:rPr>
          <w:sz w:val="20"/>
          <w:szCs w:val="20"/>
          <w:rtl w:val="0"/>
        </w:rPr>
        <w:t xml:space="preserve">: El tiempo de respuesta y de solución a los problemas de los clientes con los productos de BI de Microsoft son muy elevados.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No es el único estándar</w:t>
      </w:r>
      <w:r w:rsidDel="00000000" w:rsidR="00000000" w:rsidRPr="00000000">
        <w:rPr>
          <w:sz w:val="20"/>
          <w:szCs w:val="20"/>
          <w:rtl w:val="0"/>
        </w:rPr>
        <w:t xml:space="preserve">: Al utilizarlo con otros servicios y/o productos de BI, se vuelve un poco complejo para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44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Salesforce</w:t>
      </w:r>
    </w:p>
    <w:p w:rsidR="00000000" w:rsidDel="00000000" w:rsidP="00000000" w:rsidRDefault="00000000" w:rsidRPr="00000000" w14:paraId="00000060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Fuerzas: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Bien posicionados para la siguiente ola de BI: </w:t>
      </w:r>
      <w:r w:rsidDel="00000000" w:rsidR="00000000" w:rsidRPr="00000000">
        <w:rPr>
          <w:sz w:val="20"/>
          <w:szCs w:val="20"/>
          <w:rtl w:val="0"/>
        </w:rPr>
        <w:t xml:space="preserve"> la adquisicion e integracion de de BeyondCare con Salesforce se convierte en el enfoque basado en en machine-learning más relevante.</w:t>
      </w:r>
    </w:p>
    <w:p w:rsidR="00000000" w:rsidDel="00000000" w:rsidP="00000000" w:rsidRDefault="00000000" w:rsidRPr="00000000" w14:paraId="00000062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Optimizado para Salesforce: </w:t>
      </w:r>
      <w:r w:rsidDel="00000000" w:rsidR="00000000" w:rsidRPr="00000000">
        <w:rPr>
          <w:sz w:val="20"/>
          <w:szCs w:val="20"/>
          <w:rtl w:val="0"/>
        </w:rPr>
        <w:t xml:space="preserve">Porveee una buena integración y funcionalidad para ser integrado con otros porductos de Salesforce y externos.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Ecosistema y mercado de socios: </w:t>
      </w:r>
      <w:r w:rsidDel="00000000" w:rsidR="00000000" w:rsidRPr="00000000">
        <w:rPr>
          <w:sz w:val="20"/>
          <w:szCs w:val="20"/>
          <w:rtl w:val="0"/>
        </w:rPr>
        <w:t xml:space="preserve">Gran red y mercado de vendedores y desarrolladores de productos y sistemas de Salesforce.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Experiencia de Ventas y Clientes: </w:t>
      </w:r>
      <w:r w:rsidDel="00000000" w:rsidR="00000000" w:rsidRPr="00000000">
        <w:rPr>
          <w:sz w:val="20"/>
          <w:szCs w:val="20"/>
          <w:rtl w:val="0"/>
        </w:rPr>
        <w:t xml:space="preserve">Buena experiencia de venta de los productos de Salesforce y buena opinión sobre el futuro de la empresa.</w:t>
      </w:r>
    </w:p>
    <w:p w:rsidR="00000000" w:rsidDel="00000000" w:rsidP="00000000" w:rsidRDefault="00000000" w:rsidRPr="00000000" w14:paraId="00000065">
      <w:pPr>
        <w:numPr>
          <w:ilvl w:val="2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16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Precauciones:</w:t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Llamamiento no probado fuera de la base instalada de Salesforce: </w:t>
      </w:r>
      <w:r w:rsidDel="00000000" w:rsidR="00000000" w:rsidRPr="00000000">
        <w:rPr>
          <w:sz w:val="20"/>
          <w:szCs w:val="20"/>
          <w:rtl w:val="0"/>
        </w:rPr>
        <w:t xml:space="preserve">No ha sido probado que el producto BeyondCare puede ser usado por servicios externos a SalesForce.</w:t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Brechas de Funcionalidad: </w:t>
      </w:r>
      <w:r w:rsidDel="00000000" w:rsidR="00000000" w:rsidRPr="00000000">
        <w:rPr>
          <w:sz w:val="20"/>
          <w:szCs w:val="20"/>
          <w:rtl w:val="0"/>
        </w:rPr>
        <w:t xml:space="preserve">No tiene productos con análisis complejos por lo que su funcionalidad es limitada. Es usado principalmente para dashboards.</w:t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Costo: </w:t>
      </w:r>
      <w:r w:rsidDel="00000000" w:rsidR="00000000" w:rsidRPr="00000000">
        <w:rPr>
          <w:sz w:val="20"/>
          <w:szCs w:val="20"/>
          <w:rtl w:val="0"/>
        </w:rPr>
        <w:t xml:space="preserve">El costo de los productos siguen siendo altos a pesar de ser bajados.</w:t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2880" w:hanging="360"/>
        <w:jc w:val="both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Naciente preparación de datos de autoservicio: </w:t>
      </w:r>
      <w:r w:rsidDel="00000000" w:rsidR="00000000" w:rsidRPr="00000000">
        <w:rPr>
          <w:sz w:val="20"/>
          <w:szCs w:val="20"/>
          <w:rtl w:val="0"/>
        </w:rPr>
        <w:t xml:space="preserve">Datos complejos y modelos de servicios externos a Salesforce necesitan de un servicio externo para ser usados por Salesforce.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0" w:firstLine="0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Costos y diferentes formas de acceder a su plataforma de BI.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20" w:before="220" w:line="276" w:lineRule="auto"/>
        <w:ind w:left="1440" w:right="0" w:hanging="360"/>
        <w:contextualSpacing w:val="1"/>
        <w:jc w:val="both"/>
        <w:rPr>
          <w:b w:val="1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Microsoft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2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20" w:before="220" w:line="276" w:lineRule="auto"/>
        <w:ind w:left="2160" w:right="0" w:hanging="360"/>
        <w:contextualSpacing w:val="1"/>
        <w:jc w:val="both"/>
        <w:rPr>
          <w:sz w:val="20"/>
          <w:szCs w:val="20"/>
          <w:u w:val="none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Power BI</w:t>
      </w:r>
      <w:r w:rsidDel="00000000" w:rsidR="00000000" w:rsidRPr="00000000">
        <w:rPr>
          <w:sz w:val="20"/>
          <w:szCs w:val="20"/>
          <w:rtl w:val="0"/>
        </w:rPr>
        <w:t xml:space="preserve"> - desde $9.99 por usuario al mes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1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20" w:before="220" w:line="276" w:lineRule="auto"/>
        <w:ind w:left="1440" w:right="0" w:hanging="360"/>
        <w:contextualSpacing w:val="1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Salesforce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2"/>
          <w:numId w:val="1"/>
        </w:numPr>
        <w:pBdr>
          <w:top w:color="auto" w:space="0" w:sz="0" w:val="none"/>
          <w:left w:space="0" w:sz="0" w:val="nil"/>
          <w:bottom w:color="auto" w:space="0" w:sz="0" w:val="none"/>
          <w:right w:color="auto" w:space="0" w:sz="0" w:val="none"/>
          <w:between w:color="auto" w:space="0" w:sz="0" w:val="none"/>
        </w:pBdr>
        <w:shd w:fill="auto" w:val="clear"/>
        <w:spacing w:after="220" w:before="220" w:line="276" w:lineRule="auto"/>
        <w:ind w:left="2160" w:right="0" w:hanging="36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Einstein Analytics</w:t>
      </w:r>
      <w:r w:rsidDel="00000000" w:rsidR="00000000" w:rsidRPr="00000000">
        <w:rPr>
          <w:sz w:val="20"/>
          <w:szCs w:val="20"/>
          <w:rtl w:val="0"/>
        </w:rPr>
        <w:t xml:space="preserve"> - desde $50 USD al mes por usuario.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Servicios ofrecidos relacionados con BI (cloud, apoyo, capacitación, demos, etc.).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760" w:hanging="360"/>
        <w:jc w:val="both"/>
        <w:rPr>
          <w:highlight w:val="yellow"/>
        </w:rPr>
      </w:pPr>
      <w:r w:rsidDel="00000000" w:rsidR="00000000" w:rsidRPr="00000000">
        <w:rPr>
          <w:sz w:val="20"/>
          <w:szCs w:val="20"/>
          <w:highlight w:val="yellow"/>
          <w:rtl w:val="0"/>
        </w:rPr>
        <w:t xml:space="preserve">Parte de la arquitectura de BI que cubren sus productos y/o servicios.</w:t>
      </w:r>
    </w:p>
    <w:p w:rsidR="00000000" w:rsidDel="00000000" w:rsidP="00000000" w:rsidRDefault="00000000" w:rsidRPr="00000000" w14:paraId="00000072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jc w:val="both"/>
        <w:rPr>
          <w:color w:val="4a86e8"/>
        </w:rPr>
      </w:pPr>
      <w:bookmarkStart w:colFirst="0" w:colLast="0" w:name="_86tiaqem9s70" w:id="2"/>
      <w:bookmarkEnd w:id="2"/>
      <w:r w:rsidDel="00000000" w:rsidR="00000000" w:rsidRPr="00000000">
        <w:rPr>
          <w:color w:val="4a86e8"/>
          <w:rtl w:val="0"/>
        </w:rPr>
        <w:t xml:space="preserve">Propuesta de Criterios</w:t>
      </w:r>
    </w:p>
    <w:p w:rsidR="00000000" w:rsidDel="00000000" w:rsidP="00000000" w:rsidRDefault="00000000" w:rsidRPr="00000000" w14:paraId="00000073">
      <w:pPr>
        <w:pStyle w:val="Heading3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jc w:val="both"/>
        <w:rPr>
          <w:color w:val="4a86e8"/>
        </w:rPr>
      </w:pPr>
      <w:bookmarkStart w:colFirst="0" w:colLast="0" w:name="_86tiaqem9s70" w:id="2"/>
      <w:bookmarkEnd w:id="2"/>
      <w:r w:rsidDel="00000000" w:rsidR="00000000" w:rsidRPr="00000000">
        <w:rPr>
          <w:color w:val="4a86e8"/>
          <w:rtl w:val="0"/>
        </w:rPr>
        <w:t xml:space="preserve">Conclusión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contextualSpacing w:val="0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