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bookmarkStart w:id="0" w:name="__UnoMark__1250_1236208019"/>
      <w:bookmarkStart w:id="1" w:name="__UnoMark__1242_1236208019"/>
      <w:bookmarkStart w:id="2" w:name="__UnoMark__1018_1236208019"/>
      <w:bookmarkStart w:id="3" w:name="__UnoMark__1010_1236208019"/>
      <w:bookmarkStart w:id="4" w:name="__UnoMark__633_1236208019"/>
      <w:bookmarkStart w:id="5" w:name="__UnoMark__625_1236208019"/>
      <w:bookmarkStart w:id="6" w:name="__UnoMark__423_1236208019"/>
      <w:bookmarkStart w:id="7" w:name="__UnoMark__415_1236208019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/>
        <w:t xml:space="preserve">Résumé </w:t>
      </w:r>
      <w:bookmarkStart w:id="8" w:name="__UnoMark__222_1236208019"/>
      <w:bookmarkStart w:id="9" w:name="__UnoMark__214_1236208019"/>
      <w:r>
        <w:rPr/>
        <w:t>de la solution standard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Dans le cadre de ce projet, on </w:t>
      </w:r>
      <w:r>
        <w:rPr/>
        <w:t xml:space="preserve">a </w:t>
      </w:r>
      <w:r>
        <w:rPr/>
        <w:t xml:space="preserve">décidé de </w:t>
      </w:r>
      <w:r>
        <w:rPr/>
        <w:t xml:space="preserve">proposer à SPIE </w:t>
      </w:r>
      <w:r>
        <w:rPr/>
        <w:t xml:space="preserve">une solution </w:t>
      </w:r>
      <w:r>
        <w:rPr/>
        <w:t xml:space="preserve">standard </w:t>
      </w:r>
      <w:r>
        <w:rPr/>
        <w:t xml:space="preserve">qui répond au maximum </w:t>
      </w:r>
      <w:r>
        <w:rPr/>
        <w:t>à ses</w:t>
      </w:r>
      <w:r>
        <w:rPr/>
        <w:t xml:space="preserve"> attentes. La solution contient les postes de travail suivants : 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1. Commandes clients : </w:t>
      </w:r>
      <w:r>
        <w:rPr/>
        <w:t>ce poste de travail permet de gérer les commandes des clients.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2. Ordre de service : ce poste de travail </w:t>
      </w:r>
      <w:r>
        <w:rPr/>
        <w:t xml:space="preserve">permet de créer des ordres de service, de planifier et d'affecter les ordres de service à l'aide d'informations telles que les heures de main-d'œuvre et les besoins en pièces de rechange prévus. 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3. Service garanti : ce poste de travail permet de gérer les contrats, </w:t>
      </w:r>
      <w:r>
        <w:rPr/>
        <w:t xml:space="preserve">de lister et de traiter les modèles de contrats utilisés par les commerciaux afin de créer des contrats clients de façon rapide et efficace. </w:t>
      </w:r>
      <w:r>
        <w:rPr/>
        <w:t xml:space="preserve">Il contient aussi une vue « catégorie de service » qui permet </w:t>
      </w:r>
      <w:r>
        <w:rPr/>
        <w:t xml:space="preserve">de créer et d'organiser </w:t>
      </w:r>
      <w:r>
        <w:rPr/>
        <w:t>les services selon les secteurs d'activité.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4. Service sur site et réparation : ce poste de travail est destiné essentiellement aux techniciens. Il leurs permet de voir les </w:t>
      </w:r>
      <w:r>
        <w:rPr/>
        <w:t xml:space="preserve">ordres de service et </w:t>
      </w:r>
      <w:r>
        <w:rPr/>
        <w:t>les</w:t>
      </w:r>
      <w:r>
        <w:rPr/>
        <w:t xml:space="preserve"> commandes clients qui </w:t>
      </w:r>
      <w:r>
        <w:rPr/>
        <w:t>leurs</w:t>
      </w:r>
      <w:r>
        <w:rPr/>
        <w:t xml:space="preserve"> sont affectés, de sélectionner un ordre ou une commande pour en afficher les détails </w:t>
      </w:r>
      <w:r>
        <w:rPr/>
        <w:t>et de</w:t>
      </w:r>
      <w:r>
        <w:rPr/>
        <w:t xml:space="preserve"> confirmer </w:t>
      </w:r>
      <w:r>
        <w:rPr/>
        <w:t xml:space="preserve">l' exécution d'un </w:t>
      </w:r>
      <w:r>
        <w:rPr/>
        <w:t>o</w:t>
      </w:r>
      <w:r>
        <w:rPr/>
        <w:t>rd</w:t>
      </w:r>
      <w:r>
        <w:rPr/>
        <w:t xml:space="preserve">re de service une fois les tâches correspondantes terminées. 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5. Centre de service : ce poste de travail contient la vue Base de connaissances. Cette vue </w:t>
      </w:r>
      <w:r>
        <w:rPr/>
        <w:t>permet de consulter et de mettre à jour la base de connaissances, qui contient des articles sur les solutions et les procédures adoptées, des foires aux questions et des conseils pour la résolution des incidents.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6.  Facturation client : </w:t>
      </w:r>
      <w:r>
        <w:rPr/>
        <w:t>ce poste de travail permet de créer les factures clients et les valider.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7. </w:t>
      </w:r>
      <w:r>
        <w:rPr/>
        <w:t xml:space="preserve"> Comptabilité financière</w:t>
      </w:r>
      <w:r>
        <w:rPr/>
        <w:t xml:space="preserve"> et de gestion : Ce poste de travail permet de gérer toutes les transactions financières.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8. </w:t>
      </w:r>
      <w:r>
        <w:rPr/>
        <w:t xml:space="preserve">Performane de l'entreprise : </w:t>
      </w:r>
      <w:r>
        <w:rPr/>
        <w:t xml:space="preserve">ce poste permet de gérer les indicateurs clés de l'entreprise.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bookmarkStart w:id="10" w:name="__UnoMark__1250_1236208019"/>
      <w:bookmarkStart w:id="11" w:name="__UnoMark__1242_1236208019"/>
      <w:bookmarkStart w:id="12" w:name="__UnoMark__1018_1236208019"/>
      <w:bookmarkStart w:id="13" w:name="__UnoMark__1010_1236208019"/>
      <w:bookmarkStart w:id="14" w:name="__UnoMark__633_1236208019"/>
      <w:bookmarkStart w:id="15" w:name="__UnoMark__625_1236208019"/>
      <w:bookmarkStart w:id="16" w:name="__UnoMark__423_1236208019"/>
      <w:bookmarkStart w:id="17" w:name="__UnoMark__415_1236208019"/>
      <w:bookmarkStart w:id="18" w:name="__UnoMark__1250_1236208019"/>
      <w:bookmarkStart w:id="19" w:name="__UnoMark__1242_1236208019"/>
      <w:bookmarkStart w:id="20" w:name="__UnoMark__1018_1236208019"/>
      <w:bookmarkStart w:id="21" w:name="__UnoMark__1010_1236208019"/>
      <w:bookmarkStart w:id="22" w:name="__UnoMark__633_1236208019"/>
      <w:bookmarkStart w:id="23" w:name="__UnoMark__625_1236208019"/>
      <w:bookmarkStart w:id="24" w:name="__UnoMark__423_1236208019"/>
      <w:bookmarkStart w:id="25" w:name="__UnoMark__415_1236208019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8"/>
      <w:bookmarkEnd w:id="9"/>
      <w:r>
        <w:rPr/>
      </w:r>
      <w:r/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t xml:space="preserve">Okba KHENISSI </w:t>
      <w:tab/>
      <w:tab/>
      <w:t>26/01/2015</w:t>
    </w:r>
    <w:r/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fr-FR" w:eastAsia="zh-CN" w:bidi="hi-IN"/>
    </w:rPr>
  </w:style>
  <w:style w:type="paragraph" w:styleId="Titre3">
    <w:name w:val="Titre 3"/>
    <w:basedOn w:val="Titre"/>
    <w:next w:val="Corpsdetexte"/>
    <w:pPr>
      <w:spacing w:before="140" w:after="120"/>
      <w:outlineLvl w:val="2"/>
      <w:outlineLvl w:val="2"/>
    </w:pPr>
    <w:rPr>
      <w:rFonts w:ascii="Liberation Serif" w:hAnsi="Liberation Serif" w:eastAsia="SimSun" w:cs="Mangal"/>
      <w:b/>
      <w:bCs/>
      <w:color w:val="808080"/>
      <w:sz w:val="28"/>
      <w:szCs w:val="28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Entte">
    <w:name w:val="En-tête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1647</TotalTime>
  <Application>LibreOffice/4.3.3.2$Windows_x86 LibreOffice_project/9bb7eadab57b6755b1265afa86e04bf45fbfc644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2015-01-26T16:09:24Z</dcterms:created>
  <dc:language>fr-FR</dc:language>
  <dcterms:modified xsi:type="dcterms:W3CDTF">2015-01-26T18:24:27Z</dcterms:modified>
  <cp:revision>5</cp:revision>
</cp:coreProperties>
</file>