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89" w:line="360" w:lineRule="auto"/>
        <w:ind w:right="13" w:hanging="9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89" w:line="360" w:lineRule="auto"/>
        <w:ind w:right="13" w:hanging="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right="13" w:hanging="77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ТОМСКИЙ ГОСУДАРСТВЕННЫЙ УНИВЕРСИТЕТ СИСТЕМ УПРАВЛЕНИЯ И РАДИОЭЛЕКТРОНИКИ(ТУСУР)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right="13" w:hanging="7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right="1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компьютерных систем в управлении и проектировании (КСУП)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right="1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ПЛАГИНА "АВТОМОБИЛЬНЫЙ ПОРШЕНЬ" ДЛЯ САПР КОМПАС-3D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системы по лабораторному проекту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«ОСНОВЫ РАЗРАБОТКИ САПР»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гр. 58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Денисов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«___» _______________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Руководитель: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к.т.н., доцент каф. КСУП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______________А.А. Калентьев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«___» _______________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ind w:left="36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 Описание САПР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1"/>
          <w:numId w:val="2"/>
        </w:numPr>
        <w:ind w:left="851" w:hanging="425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1A">
      <w:pPr>
        <w:ind w:left="7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САПР (Система автоматизированного проектирования) —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:rsidR="00000000" w:rsidDel="00000000" w:rsidP="00000000" w:rsidRDefault="00000000" w:rsidRPr="00000000" w14:paraId="0000001C">
      <w:pPr>
        <w:spacing w:after="220" w:before="2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КОМПАС-3D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пользователей. В основе КОМПАС-3D лежит российское геометрическое ядро C3D (создано C3D Labs, дочерней компанией АСКОН) и собственные программные технологии.</w:t>
      </w:r>
    </w:p>
    <w:p w:rsidR="00000000" w:rsidDel="00000000" w:rsidP="00000000" w:rsidRDefault="00000000" w:rsidRPr="00000000" w14:paraId="0000001D">
      <w:pPr>
        <w:spacing w:after="220" w:before="22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 [2].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1"/>
          <w:numId w:val="2"/>
        </w:numPr>
        <w:ind w:left="780" w:hanging="42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Описание API</w:t>
      </w:r>
    </w:p>
    <w:p w:rsidR="00000000" w:rsidDel="00000000" w:rsidP="00000000" w:rsidRDefault="00000000" w:rsidRPr="00000000" w14:paraId="0000002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(англ. Application Programming Interface) – описание способов, которыми одна компьютерная программа может взаимодействовать с другой программой.[3]</w:t>
      </w:r>
    </w:p>
    <w:p w:rsidR="00000000" w:rsidDel="00000000" w:rsidP="00000000" w:rsidRDefault="00000000" w:rsidRPr="00000000" w14:paraId="0000002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КОМПАС-3D существует API под названием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API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построения объекта в Компас-3D через API будут использоваться следующие классы: </w:t>
      </w:r>
      <w:r w:rsidDel="00000000" w:rsidR="00000000" w:rsidRPr="00000000">
        <w:rPr>
          <w:rFonts w:ascii="Georgia" w:cs="Georgia" w:eastAsia="Georgia" w:hAnsi="Georgia"/>
          <w:color w:val="4a4a4a"/>
          <w:sz w:val="28"/>
          <w:szCs w:val="28"/>
          <w:highlight w:val="white"/>
          <w:rtl w:val="0"/>
        </w:rPr>
        <w:t xml:space="preserve">KompasObject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(таблица 1.1), </w:t>
      </w:r>
      <w:r w:rsidDel="00000000" w:rsidR="00000000" w:rsidRPr="00000000">
        <w:rPr>
          <w:rFonts w:ascii="Georgia" w:cs="Georgia" w:eastAsia="Georgia" w:hAnsi="Georgia"/>
          <w:color w:val="4a4a4a"/>
          <w:sz w:val="28"/>
          <w:szCs w:val="28"/>
          <w:highlight w:val="white"/>
          <w:rtl w:val="0"/>
        </w:rPr>
        <w:t xml:space="preserve">ksDocument3D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(таблица 1.2), ksEntity(таблица 1.3).</w:t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1.1 — Используемые методы класса </w:t>
      </w:r>
      <w:r w:rsidDel="00000000" w:rsidR="00000000" w:rsidRPr="00000000">
        <w:rPr>
          <w:rFonts w:ascii="Georgia" w:cs="Georgia" w:eastAsia="Georgia" w:hAnsi="Georgia"/>
          <w:color w:val="4a4a4a"/>
          <w:sz w:val="28"/>
          <w:szCs w:val="28"/>
          <w:highlight w:val="white"/>
          <w:rtl w:val="0"/>
        </w:rPr>
        <w:t xml:space="preserve">KompasObject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6"/>
        <w:gridCol w:w="3118"/>
        <w:tblGridChange w:id="0">
          <w:tblGrid>
            <w:gridCol w:w="3116"/>
            <w:gridCol w:w="3116"/>
            <w:gridCol w:w="311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возвращаемых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Document3D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LPDISPATCH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интерфейс трехмерного документа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ActiveDocument3D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LPDISPATCH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Указатель на текущий трехмерный документ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GetParamStruct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Используется для получения значения параметра структуры. </w:t>
            </w:r>
          </w:p>
        </w:tc>
      </w:tr>
    </w:tbl>
    <w:p w:rsidR="00000000" w:rsidDel="00000000" w:rsidP="00000000" w:rsidRDefault="00000000" w:rsidRPr="00000000" w14:paraId="00000030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1.2 — Используемые методы класса </w:t>
      </w:r>
      <w:r w:rsidDel="00000000" w:rsidR="00000000" w:rsidRPr="00000000">
        <w:rPr>
          <w:rFonts w:ascii="Georgia" w:cs="Georgia" w:eastAsia="Georgia" w:hAnsi="Georgia"/>
          <w:color w:val="4a4a4a"/>
          <w:sz w:val="28"/>
          <w:szCs w:val="28"/>
          <w:highlight w:val="white"/>
          <w:rtl w:val="0"/>
        </w:rPr>
        <w:t xml:space="preserve">ksDocument3D</w:t>
      </w: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75"/>
        <w:gridCol w:w="3175"/>
        <w:gridCol w:w="3175"/>
        <w:tblGridChange w:id="0">
          <w:tblGrid>
            <w:gridCol w:w="3175"/>
            <w:gridCol w:w="3175"/>
            <w:gridCol w:w="31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возвращаемых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ksDocument3D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Создает пустой документ (деталь или сборку)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GetObjParam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Variant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параметры объекта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SetObjParam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Установить параметры объекта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GetPart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LPDISPATCH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Получить указатель на интерфейс компонента в соответствии с заданным типом</w:t>
            </w:r>
          </w:p>
        </w:tc>
      </w:tr>
    </w:tbl>
    <w:p w:rsidR="00000000" w:rsidDel="00000000" w:rsidP="00000000" w:rsidRDefault="00000000" w:rsidRPr="00000000" w14:paraId="00000041">
      <w:pPr>
        <w:spacing w:after="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1.3 — Используемые методы класса ksEntity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возвращаемых данных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Создать объект в модели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Изменить свойства объекта (используя ранее установленные свойства)</w:t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1"/>
          <w:numId w:val="2"/>
        </w:numPr>
        <w:ind w:left="851" w:hanging="425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Обзор аналогов</w:t>
      </w:r>
    </w:p>
    <w:p w:rsidR="00000000" w:rsidDel="00000000" w:rsidP="00000000" w:rsidRDefault="00000000" w:rsidRPr="00000000" w14:paraId="0000004D">
      <w:pPr>
        <w:ind w:left="7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САПР Catia</w:t>
      </w:r>
    </w:p>
    <w:p w:rsidR="00000000" w:rsidDel="00000000" w:rsidP="00000000" w:rsidRDefault="00000000" w:rsidRPr="00000000" w14:paraId="0000004F">
      <w:pPr>
        <w:ind w:firstLine="42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Catia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это программное обеспечение для моделирования автомобильных САПР в основном используется для 3D-моделирования поверхностей и твердых тел, проектирования жидкостных и электронных систем, проектирования бытовой электроники, машиностроения, проектирования конструкций и 3D-моделирования для 3D-печати.[4]</w:t>
      </w:r>
    </w:p>
    <w:p w:rsidR="00000000" w:rsidDel="00000000" w:rsidP="00000000" w:rsidRDefault="00000000" w:rsidRPr="00000000" w14:paraId="0000005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 также широко используется для инженерных моделей и предлагает комплексное решение для проектирования, придания формы и управления интеграцией шасси и силовых агрегатов, поверхностей класса А и дизайна интерьера в жизненный цикл автомобильной продукции. Интерфейс плагина показан на рисунке 1.1.</w:t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1.1 — Интерфейс САПР Catia</w:t>
      </w:r>
    </w:p>
    <w:p w:rsidR="00000000" w:rsidDel="00000000" w:rsidP="00000000" w:rsidRDefault="00000000" w:rsidRPr="00000000" w14:paraId="00000054">
      <w:pPr>
        <w:spacing w:after="0" w:line="360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rPr>
          <w:rtl w:val="0"/>
        </w:rPr>
        <w:t xml:space="preserve">2 Описание предмета проектирования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Поршень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подвижная деталь поршневых машин (паровых машин, насосов, компрессоров и поршневых двигателей внутреннего сгорания), перекрывающая поперечное сечение ее цилиндра и перемещающаяся вдоль его оси. В двигателях, силовых цилиндрах и прессах поршень передаёт давление рабочего тела (газа или жидкости) движущимся частям; в некоторых типах двигателей поршень выполняет также и газораспределительные функции. В насосах и компрессорах приводимый в возвратно-поступательное движение поршень производит засасывание, сжатие и подачу жидкости или газа.[5]</w:t>
      </w:r>
    </w:p>
    <w:p w:rsidR="00000000" w:rsidDel="00000000" w:rsidP="00000000" w:rsidRDefault="00000000" w:rsidRPr="00000000" w14:paraId="0000005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2.1 представлен чертеж поршня.</w:t>
      </w:r>
    </w:p>
    <w:p w:rsidR="00000000" w:rsidDel="00000000" w:rsidP="00000000" w:rsidRDefault="00000000" w:rsidRPr="00000000" w14:paraId="00000059">
      <w:pPr>
        <w:widowControl w:val="0"/>
        <w:spacing w:after="0" w:line="360" w:lineRule="auto"/>
        <w:ind w:right="11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4076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firstLine="42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2.1 – Чертеж поршня</w:t>
      </w:r>
    </w:p>
    <w:p w:rsidR="00000000" w:rsidDel="00000000" w:rsidP="00000000" w:rsidRDefault="00000000" w:rsidRPr="00000000" w14:paraId="0000005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Параметры поршня: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3" w:line="360" w:lineRule="auto"/>
        <w:ind w:left="100" w:firstLine="85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высота поршня H (36 — 60 мм);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left="100" w:firstLine="85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количество маслосъемных и компрессионных колец n (2 — 3) зависит от типа ДВС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left="100" w:firstLine="85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высота головки поршня рассчитывается из формулы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(от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до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H)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left="100" w:firstLine="85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диаметр днища поршня W (92 — 106 мм)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left="100" w:firstLine="85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диаметр отверстия для поршневого пальца D (от 0,16 до 0,22 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left="100" w:firstLine="85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ДВС (бензиновый/дизельный)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"/>
        </w:numPr>
        <w:tabs>
          <w:tab w:val="left" w:leader="none" w:pos="1015"/>
        </w:tabs>
        <w:spacing w:after="0" w:before="160" w:line="360" w:lineRule="auto"/>
        <w:ind w:left="100" w:firstLine="85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Материал поршня (алюминий/чугун)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3sd7ewetkai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3 Проект программы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ind w:firstLine="709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3.1 Описание технических и функциональных аспектов проекта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000000" w:rsidDel="00000000" w:rsidP="00000000" w:rsidRDefault="00000000" w:rsidRPr="00000000" w14:paraId="00000069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:rsidR="00000000" w:rsidDel="00000000" w:rsidP="00000000" w:rsidRDefault="00000000" w:rsidRPr="00000000" w14:paraId="0000006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использовании UML была построена диаграмма классов.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3.2 Диаграмма классов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ними.[6] </w:t>
      </w:r>
    </w:p>
    <w:p w:rsidR="00000000" w:rsidDel="00000000" w:rsidP="00000000" w:rsidRDefault="00000000" w:rsidRPr="00000000" w14:paraId="0000006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3.1 представлена диаграмма классов.</w:t>
      </w:r>
    </w:p>
    <w:p w:rsidR="00000000" w:rsidDel="00000000" w:rsidP="00000000" w:rsidRDefault="00000000" w:rsidRPr="00000000" w14:paraId="0000007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t3h5sf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3.1 – Диаграмма классов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d34og8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MainWindow — главное окно, управляет данными.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s8eyo1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PistonBuilder — класс, ответственный за построение поршня.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7dp8vu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KompasWrapper — класс-обертка над API САПР Компас-3D.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rdcrjn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KompasSketch — класс-помощник для KompasWrapper, ответственный за построение чертежа детали.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6in1rg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PistonParameters — класс, хранящий параметры поршня.</w:t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3.3 Макет пользовательского интерфейса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Макет пользовательского интерфейса содержит поля, где можно вводить параметры поршня. Для создания модели необходимо нажать кнопку "Построить". Если вводятся недопустимые символы, они автоматически не будут добавляться в строку. Например, если требуется ввести только цифры, то другие символы не смогут быть введены.</w:t>
      </w:r>
    </w:p>
    <w:p w:rsidR="00000000" w:rsidDel="00000000" w:rsidP="00000000" w:rsidRDefault="00000000" w:rsidRPr="00000000" w14:paraId="0000007B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рисунке 3.2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представлен макет пользовательского интерфейса.</w:t>
      </w:r>
    </w:p>
    <w:p w:rsidR="00000000" w:rsidDel="00000000" w:rsidP="00000000" w:rsidRDefault="00000000" w:rsidRPr="00000000" w14:paraId="0000007C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781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3.2 – Макет пользовательского интерфейса</w:t>
      </w:r>
    </w:p>
    <w:p w:rsidR="00000000" w:rsidDel="00000000" w:rsidP="00000000" w:rsidRDefault="00000000" w:rsidRPr="00000000" w14:paraId="0000007E">
      <w:pPr>
        <w:spacing w:after="0"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попытке построить поршень, если пользователем ранее были введены неверные параметры, кнопка построить будет заблокирована.</w:t>
      </w:r>
    </w:p>
    <w:p w:rsidR="00000000" w:rsidDel="00000000" w:rsidP="00000000" w:rsidRDefault="00000000" w:rsidRPr="00000000" w14:paraId="0000007F">
      <w:pPr>
        <w:pStyle w:val="Heading1"/>
        <w:rPr/>
      </w:pPr>
      <w:bookmarkStart w:colFirst="0" w:colLast="0" w:name="_35nkun2" w:id="15"/>
      <w:bookmarkEnd w:id="15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80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САПР — Википедия. [Электронный ресурс]. — Режим доступа: https://ru.wikipedia.org/wiki/Система_автоматизированного_проектирования (дата обращения 17.10.2023).</w:t>
      </w:r>
    </w:p>
    <w:p w:rsidR="00000000" w:rsidDel="00000000" w:rsidP="00000000" w:rsidRDefault="00000000" w:rsidRPr="00000000" w14:paraId="0000008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КОМПАС-3D — Официальный сайт САПР Компас. [Электронный ресурс]. — Режим доступа: https://kompas.ru/kompas-3d/about/ (дата обращения 17.10.2023).</w:t>
      </w:r>
    </w:p>
    <w:p w:rsidR="00000000" w:rsidDel="00000000" w:rsidP="00000000" w:rsidRDefault="00000000" w:rsidRPr="00000000" w14:paraId="00000082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API — Википедия. [Электронный ресурс]. — Режим доступа: https://ru.wikipedia.org/wiki/API (дата обращения 17.10.2023).</w:t>
      </w:r>
    </w:p>
    <w:p w:rsidR="00000000" w:rsidDel="00000000" w:rsidP="00000000" w:rsidRDefault="00000000" w:rsidRPr="00000000" w14:paraId="00000083">
      <w:pPr>
        <w:spacing w:after="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4. Catia— Википедия. [Электронный ресурс]. — Режим доступа: https://ru.wikipedia.org/wiki/Catia (дата обращения 28.10.2023).</w:t>
      </w:r>
    </w:p>
    <w:p w:rsidR="00000000" w:rsidDel="00000000" w:rsidP="00000000" w:rsidRDefault="00000000" w:rsidRPr="00000000" w14:paraId="00000084">
      <w:pPr>
        <w:spacing w:after="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Поршень— Википедия. [Электронный ресурс]. — Режим доступа: https://ru.wikipedia.org/wiki/Поршень (дата обращения 28.10.2023).</w:t>
      </w:r>
    </w:p>
    <w:p w:rsidR="00000000" w:rsidDel="00000000" w:rsidP="00000000" w:rsidRDefault="00000000" w:rsidRPr="00000000" w14:paraId="00000085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  <w:tab/>
        <w:t xml:space="preserve">UML. [Электронный ресурс]. – Режим доступа: http://www.uml.org/ (дата обращения 17.10.2023).</w:t>
      </w:r>
    </w:p>
    <w:sectPr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tabs>
        <w:tab w:val="center" w:leader="none" w:pos="4513"/>
        <w:tab w:val="right" w:leader="none" w:pos="9026"/>
      </w:tabs>
      <w:spacing w:after="0" w:line="240" w:lineRule="auto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  <w:rtl w:val="0"/>
      </w:rPr>
      <w:t xml:space="preserve">Томск, 202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3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100" w:hanging="207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048" w:hanging="207"/>
      </w:pPr>
      <w:rPr/>
    </w:lvl>
    <w:lvl w:ilvl="2">
      <w:start w:val="0"/>
      <w:numFmt w:val="bullet"/>
      <w:lvlText w:val="•"/>
      <w:lvlJc w:val="left"/>
      <w:pPr>
        <w:ind w:left="1996" w:hanging="207"/>
      </w:pPr>
      <w:rPr/>
    </w:lvl>
    <w:lvl w:ilvl="3">
      <w:start w:val="0"/>
      <w:numFmt w:val="bullet"/>
      <w:lvlText w:val="•"/>
      <w:lvlJc w:val="left"/>
      <w:pPr>
        <w:ind w:left="2944" w:hanging="207"/>
      </w:pPr>
      <w:rPr/>
    </w:lvl>
    <w:lvl w:ilvl="4">
      <w:start w:val="0"/>
      <w:numFmt w:val="bullet"/>
      <w:lvlText w:val="•"/>
      <w:lvlJc w:val="left"/>
      <w:pPr>
        <w:ind w:left="3892" w:hanging="207"/>
      </w:pPr>
      <w:rPr/>
    </w:lvl>
    <w:lvl w:ilvl="5">
      <w:start w:val="0"/>
      <w:numFmt w:val="bullet"/>
      <w:lvlText w:val="•"/>
      <w:lvlJc w:val="left"/>
      <w:pPr>
        <w:ind w:left="4840" w:hanging="207"/>
      </w:pPr>
      <w:rPr/>
    </w:lvl>
    <w:lvl w:ilvl="6">
      <w:start w:val="0"/>
      <w:numFmt w:val="bullet"/>
      <w:lvlText w:val="•"/>
      <w:lvlJc w:val="left"/>
      <w:pPr>
        <w:ind w:left="5788" w:hanging="207.0000000000009"/>
      </w:pPr>
      <w:rPr/>
    </w:lvl>
    <w:lvl w:ilvl="7">
      <w:start w:val="0"/>
      <w:numFmt w:val="bullet"/>
      <w:lvlText w:val="•"/>
      <w:lvlJc w:val="left"/>
      <w:pPr>
        <w:ind w:left="6736" w:hanging="207"/>
      </w:pPr>
      <w:rPr/>
    </w:lvl>
    <w:lvl w:ilvl="8">
      <w:start w:val="0"/>
      <w:numFmt w:val="bullet"/>
      <w:lvlText w:val="•"/>
      <w:lvlJc w:val="left"/>
      <w:pPr>
        <w:ind w:left="7684" w:hanging="207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80" w:hanging="42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440" w:hanging="108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800" w:hanging="144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2160" w:hanging="1800"/>
      </w:pPr>
      <w:rPr/>
    </w:lvl>
    <w:lvl w:ilvl="8">
      <w:start w:val="1"/>
      <w:numFmt w:val="decimal"/>
      <w:lvlText w:val="%1.%2.%3.%4.%5.%6.%7.%8.%9"/>
      <w:lvlJc w:val="left"/>
      <w:pPr>
        <w:ind w:left="2520" w:hanging="21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rFonts w:ascii="Times New Roman" w:cs="Times New Roman" w:eastAsia="Times New Roman" w:hAnsi="Times New Roman"/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