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40"/>
        <w:jc w:val="start"/>
        <w:rPr/>
      </w:pPr>
      <w:r>
        <w:rPr/>
        <w:t>Project Libertarian: Philippine operating-cost canvass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Prepared:</w:t>
      </w:r>
      <w:r>
        <w:rPr/>
        <w:t xml:space="preserve"> 4 September 2026 </w:t>
      </w:r>
      <w:r>
        <w:rPr>
          <w:rStyle w:val="Strong"/>
        </w:rPr>
        <w:t>Currency:</w:t>
      </w:r>
      <w:r>
        <w:rPr/>
        <w:t xml:space="preserve"> Philippine pesos (PHP) </w:t>
      </w:r>
      <w:r>
        <w:rPr>
          <w:rStyle w:val="Strong"/>
        </w:rPr>
        <w:t>Planning exchange rate:</w:t>
      </w:r>
      <w:r>
        <w:rPr/>
        <w:t xml:space="preserve"> PHP 60 = USD 1</w:t>
      </w:r>
    </w:p>
    <w:p>
      <w:pPr>
        <w:pStyle w:val="BodyText"/>
        <w:bidi w:val="0"/>
        <w:jc w:val="start"/>
        <w:rPr/>
      </w:pPr>
      <w:r>
        <w:rPr/>
        <w:t>This is a planning canvass, not a legal, tax, or vendor quotation. Local-government fees depend on the registered city, office type, floor area, capitalization, and declared line of business. Obtain written quotes before spending.</w:t>
      </w:r>
    </w:p>
    <w:p>
      <w:pPr>
        <w:pStyle w:val="Heading2"/>
        <w:bidi w:val="0"/>
        <w:jc w:val="start"/>
        <w:rPr/>
      </w:pPr>
      <w:r>
        <w:rPr/>
        <w:t>Executive budget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786"/>
        <w:gridCol w:w="2506"/>
        <w:gridCol w:w="1842"/>
        <w:gridCol w:w="2205"/>
      </w:tblGrid>
      <w:tr>
        <w:trPr>
          <w:tblHeader w:val="true"/>
        </w:trPr>
        <w:tc>
          <w:tcPr>
            <w:tcW w:w="478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Launch level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One-time cash before launch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Monthly cash burn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Six-month cash need</w:t>
            </w:r>
          </w:p>
        </w:tc>
      </w:tr>
      <w:tr>
        <w:trPr/>
        <w:tc>
          <w:tcPr>
            <w:tcW w:w="478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Closed Android pilot, cash/manual settlement, founder-operated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100,000-250,000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20,000-50,000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220,000-550,000</w:t>
            </w:r>
          </w:p>
        </w:tc>
      </w:tr>
      <w:tr>
        <w:trPr/>
        <w:tc>
          <w:tcPr>
            <w:tcW w:w="478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Public paid beta, Android + iOS, one city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400,000-1,000,000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90,000-220,000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940,000-2,320,000</w:t>
            </w:r>
          </w:p>
        </w:tc>
      </w:tr>
      <w:tr>
        <w:trPr/>
        <w:tc>
          <w:tcPr>
            <w:tcW w:w="478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Staffed city launch with meaningful acquisition spend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1,000,000-2,000,000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350,000-700,000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3,100,000-6,200,000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recommended target is the </w:t>
      </w:r>
      <w:r>
        <w:rPr>
          <w:rStyle w:val="Strong"/>
        </w:rPr>
        <w:t>public paid beta</w:t>
      </w:r>
      <w:r>
        <w:rPr/>
        <w:t xml:space="preserve">, but release it in stages. A prudent initial capitalization/runway target is about </w:t>
      </w:r>
      <w:r>
        <w:rPr>
          <w:rStyle w:val="Strong"/>
        </w:rPr>
        <w:t>PHP 1.2-2.0 million</w:t>
      </w:r>
      <w:r>
        <w:rPr/>
        <w:t xml:space="preserve"> if the founders continue doing most engineering and management. This is cash available to the company, not all registration expense.</w:t>
      </w:r>
    </w:p>
    <w:p>
      <w:pPr>
        <w:pStyle w:val="Heading2"/>
        <w:bidi w:val="0"/>
        <w:jc w:val="start"/>
        <w:rPr/>
      </w:pPr>
      <w:r>
        <w:rPr/>
        <w:t>Assumptions behind the base case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Philippine-owned domestic stock corporation, using a One Person Corporation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(OPC) if there is one founder or a regular corporation if there are co-founders.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One Metro Manila launch city; home office if permitted, otherwise a low-cost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registered/virtual office.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Founder-led management and engineering, plus one support/operations employee.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Two apps: customer and service provider, on Android and iOS.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Approximately 1,000 early users and 100-1,000 monthly completed jobs.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The platform uses a BSP-regulated Philippine payment partner and does not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custody customer funds itself.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Provider relationships are documented as independent marketplace merchants,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subject to a Philippine lawyer's review of the actual control and work model.</w:t>
      </w:r>
    </w:p>
    <w:p>
      <w:pPr>
        <w:pStyle w:val="Heading2"/>
        <w:bidi w:val="0"/>
        <w:jc w:val="start"/>
        <w:rPr/>
      </w:pPr>
      <w:r>
        <w:rPr/>
        <w:t>1. Formation and compliance</w:t>
      </w:r>
    </w:p>
    <w:p>
      <w:pPr>
        <w:pStyle w:val="Heading3"/>
        <w:bidi w:val="0"/>
        <w:jc w:val="start"/>
        <w:rPr/>
      </w:pPr>
      <w:r>
        <w:rPr/>
        <w:t>Recommended structure</w:t>
      </w:r>
    </w:p>
    <w:p>
      <w:pPr>
        <w:pStyle w:val="BodyText"/>
        <w:bidi w:val="0"/>
        <w:jc w:val="start"/>
        <w:rPr/>
      </w:pPr>
      <w:r>
        <w:rPr/>
        <w:t>A corporation is more appropriate than a sole proprietorship for a marketplace that holds personal data, mediates disputes, and may face service-related claims. An OPC works for one founder; use a regular domestic stock corporation when there are multiple founders or near-term investors.</w:t>
      </w:r>
    </w:p>
    <w:p>
      <w:pPr>
        <w:pStyle w:val="BodyText"/>
        <w:bidi w:val="0"/>
        <w:jc w:val="start"/>
        <w:rPr/>
      </w:pPr>
      <w:r>
        <w:rPr/>
        <w:t>A sole proprietor can register a national-scope business name for PHP 2,000 plus PHP 30 documentary stamp tax, but the owner has unlimited personal liability. That small saving is not attractive for this risk profile.</w:t>
      </w:r>
    </w:p>
    <w:p>
      <w:pPr>
        <w:pStyle w:val="Heading3"/>
        <w:bidi w:val="0"/>
        <w:jc w:val="start"/>
        <w:rPr/>
      </w:pPr>
      <w:r>
        <w:rPr/>
        <w:t>Initial cash allowance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88"/>
        <w:gridCol w:w="1926"/>
        <w:gridCol w:w="6425"/>
      </w:tblGrid>
      <w:tr>
        <w:trPr>
          <w:tblHeader w:val="true"/>
        </w:trPr>
        <w:tc>
          <w:tcPr>
            <w:tcW w:w="2988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Item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Planning allowance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Basis / note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SEC incorporation and corporate books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3,000-6,000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SEC filing is 0.2% of authorized capital/subscription basis, minimum PHP 2,000, plus legal research fee; SEC estimates the stock-and-transfer book at PHP 470. Payment/convenience charges can apply.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Notarization, corporate records, filing help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3,000-15,000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Market allowance; DIY filing is cheaper.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Barangay clearance, Mayor's/business permit, BFP and local charges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5,000-25,000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City-specific allowance. Confirm with the chosen BPLO before signing a lease.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BIR registration, books, and invoices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1,000-3,000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Government loose DST is PHP 30; the balance allows for books and compliant invoices.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E-Commerce Philippine Trustmark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130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Current micro-enterprise total: PHP 0 application + PHP 100 web administration + PHP 30 DST.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NPC data-processing/DPO registration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2,500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National private organization initial registration. If legitimately exempt, a notarized Sworn Declaration and Undertaking is still required.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Registered-office deposit/setup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0-18,000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Zero if a lawful home office is accepted; otherwise allow for a virtual/serviced address.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Marketplace legal pack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20,000-60,000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Terms, privacy notice/consents, provider agreement, cancellation/refund rules, acceptable-use policy, complaints/redress process, and contractor-classification review.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Trademark, one class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3,570 DIY; PHP 10,000-25,000 assisted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Small-entity official core fees: PHP 1,200 filing + PHP 900 first publication + PHP 570 certificate + PHP 900 second publication. Search, responses, extra classes, and professional fees are additional.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Contingency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7,000-25,000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Roughly 15%-20%, especially for LGU-specific charges.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Formation/compliance subtotal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45,000-180,000</w:t>
            </w:r>
          </w:p>
        </w:tc>
        <w:tc>
          <w:tcPr>
            <w:tcW w:w="6425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Excludes subscribed/paid-in capital, which remains company money.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Required registrations and recurring filings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SEC incorporation (OPC or regular domestic stock corporation).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Barangay clearance and city/municipal business permit, including local fire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and zoning/occupancy requirements that apply to the registered office.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BIR Certificate of Registration, registered books, and compliant invoices.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SSS, PhilHealth, and Pag-IBIG employer registration before employing staff.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DTI E-Commerce Philippine Trustmark. Current rules cover online merchants,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e-marketplaces, and digital platforms.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NPC appointment/registration of a Data Protection Officer and data-processing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systems when covered. This product continuously handles identity, precise location, chats, transaction records, and possibly KYC documents, so budget on registration rather than assuming the smallest-business exemption.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Annual/periodic SEC, BIR, LGU, NPC, and labor filings, maintained by the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accountant/corporate secretary.</w:t>
      </w:r>
    </w:p>
    <w:p>
      <w:pPr>
        <w:pStyle w:val="BodyText"/>
        <w:bidi w:val="0"/>
        <w:jc w:val="start"/>
        <w:rPr/>
      </w:pPr>
      <w:r>
        <w:rPr/>
        <w:t xml:space="preserve">Allow </w:t>
      </w:r>
      <w:r>
        <w:rPr>
          <w:rStyle w:val="Strong"/>
        </w:rPr>
        <w:t>PHP 45,000-120,000 per year</w:t>
      </w:r>
      <w:r>
        <w:rPr/>
        <w:t xml:space="preserve"> for bookkeeping, tax filings, corporate secretarial work, and year-end financial statements/audit assistance at small transaction volume. Audit and tax complexity can push this higher.</w:t>
      </w:r>
    </w:p>
    <w:p>
      <w:pPr>
        <w:pStyle w:val="Heading2"/>
        <w:bidi w:val="0"/>
        <w:jc w:val="start"/>
        <w:rPr/>
      </w:pPr>
      <w:r>
        <w:rPr/>
        <w:t>2. Software work still needed before a public paid launch</w:t>
      </w:r>
    </w:p>
    <w:p>
      <w:pPr>
        <w:pStyle w:val="BodyText"/>
        <w:bidi w:val="0"/>
        <w:jc w:val="start"/>
        <w:rPr/>
      </w:pPr>
      <w:r>
        <w:rPr/>
        <w:t>The repository is a useful MVP, but not yet production-ready: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>
          <w:rStyle w:val="SourceText"/>
        </w:rPr>
        <w:t>README.md</w:t>
      </w:r>
      <w:r>
        <w:rPr/>
        <w:t xml:space="preserve"> labels payments as escrow stubs.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The payment service is wired to Stripe, which does not list the Philippines as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a supported business location as of this canvass.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Development JWT/admin secrets and database credentials are present in local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configuration; production secret management is not configured.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The mobile configuration still points to a LAN address and placeholder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production host.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Android application IDs and release signing contain TODOs.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A production complaints/refund workflow, merchant verification, moderation,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observability, backup restoration, and incident procedures are not evident.</w:t>
      </w:r>
    </w:p>
    <w:p>
      <w:pPr>
        <w:pStyle w:val="Heading3"/>
        <w:bidi w:val="0"/>
        <w:jc w:val="start"/>
        <w:rPr/>
      </w:pPr>
      <w:r>
        <w:rPr/>
        <w:t>Productionization allowance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8"/>
        <w:gridCol w:w="2921"/>
      </w:tblGrid>
      <w:tr>
        <w:trPr>
          <w:tblHeader w:val="true"/>
        </w:trPr>
        <w:tc>
          <w:tcPr>
            <w:tcW w:w="8418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Workstream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Outsourced/hybrid allowance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Replace Stripe; integrate local checkout, webhooks, refunds, payouts, reconciliation, and idempotency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60,000-160,000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Production infrastructure, CI/CD, secrets, TLS, database backups/restore test, monitoring, rate limits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50,000-140,000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Security/privacy hardening, authorization review, deletion/retention workflows, vulnerability test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50,000-150,000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Android/iOS release signing, organization accounts, store listings, privacy disclosures, device QA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40,000-110,000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Complaint, moderation, merchant-verification and admin-operating workflows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30,000-90,000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Performance/reliability fixes and launch QA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30,000-100,000</w:t>
            </w:r>
          </w:p>
        </w:tc>
      </w:tr>
      <w:tr>
        <w:trPr/>
        <w:tc>
          <w:tcPr>
            <w:tcW w:w="841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Productionization subtotal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260,000-750,000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If the founders implement these items, much of this becomes 8-12 weeks of labor instead of cash. Keep at least </w:t>
      </w:r>
      <w:r>
        <w:rPr>
          <w:rStyle w:val="Strong"/>
        </w:rPr>
        <w:t>PHP 50,000-150,000</w:t>
      </w:r>
      <w:r>
        <w:rPr/>
        <w:t xml:space="preserve"> for independent legal, security, device, and launch review; self-review is not an adequate substitute for every risk.</w:t>
      </w:r>
    </w:p>
    <w:p>
      <w:pPr>
        <w:pStyle w:val="BodyText"/>
        <w:bidi w:val="0"/>
        <w:jc w:val="start"/>
        <w:rPr/>
      </w:pPr>
      <w:r>
        <w:rPr/>
        <w:t>No automated test suite was run during this canvass because the local environment does not have the Go toolchain installed. The estimate is based on repository inspection and is not a certification of launch readiness.</w:t>
      </w:r>
    </w:p>
    <w:p>
      <w:pPr>
        <w:pStyle w:val="Heading2"/>
        <w:bidi w:val="0"/>
        <w:jc w:val="start"/>
        <w:rPr/>
      </w:pPr>
      <w:r>
        <w:rPr/>
        <w:t>3. Launch accounts and infrastructure</w:t>
      </w:r>
    </w:p>
    <w:p>
      <w:pPr>
        <w:pStyle w:val="Heading3"/>
        <w:bidi w:val="0"/>
        <w:jc w:val="start"/>
        <w:rPr/>
      </w:pPr>
      <w:r>
        <w:rPr/>
        <w:t>One-time / annual</w:t>
      </w:r>
    </w:p>
    <w:tbl>
      <w:tblPr>
        <w:tblW w:w="85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28"/>
        <w:gridCol w:w="3696"/>
      </w:tblGrid>
      <w:tr>
        <w:trPr>
          <w:tblHeader w:val="true"/>
        </w:trPr>
        <w:tc>
          <w:tcPr>
            <w:tcW w:w="4828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Item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Cost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Google Play organization developer account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About PHP 1,500 one-time (USD 25)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Apple Developer Program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About PHP 5,940/year (USD 99)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Domain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700-1,500/year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Basic brand/store assets and launch collateral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5,000-25,000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Initial provider onboarding/background checks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10,000-40,000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Initial local launch campaign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30,000-120,000</w:t>
            </w:r>
          </w:p>
        </w:tc>
      </w:tr>
    </w:tbl>
    <w:p>
      <w:pPr>
        <w:pStyle w:val="Heading3"/>
        <w:bidi w:val="0"/>
        <w:jc w:val="start"/>
        <w:rPr/>
      </w:pPr>
      <w:r>
        <w:rPr/>
        <w:t>Monthly base case</w:t>
      </w:r>
    </w:p>
    <w:tbl>
      <w:tblPr>
        <w:tblW w:w="113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22"/>
        <w:gridCol w:w="2088"/>
        <w:gridCol w:w="2193"/>
      </w:tblGrid>
      <w:tr>
        <w:trPr>
          <w:tblHeader w:val="true"/>
        </w:trPr>
        <w:tc>
          <w:tcPr>
            <w:tcW w:w="7022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Expense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Founder-only pilot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Public paid beta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Compute, managed PostgreSQL, object storage, backups, monitoring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3,000-8,000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5,000-15,000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Email, domain allocation, support and admin software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1,000-4,000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2,000-8,000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Maps/tiles, SMS/OTP, email delivery, KYC checks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500-3,000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2,000-12,000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Accountant, tax filings, corporate secretary allocation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4,000-10,000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6,000-15,000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Registered address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0-6,000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0-8,000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Insurance/legal/compliance reserve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2,000-8,000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4,000-15,000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Customer support / marketplace operations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Founder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25,000-45,000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Engineering maintenance/on-call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Founder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20,000-60,000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Provider and customer acquisition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5,000-20,000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20,000-75,000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Refund/fraud/incident reserve and contingency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4,500-10,000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10,000-25,000</w:t>
            </w:r>
          </w:p>
        </w:tc>
      </w:tr>
      <w:tr>
        <w:trPr/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Approximate monthly total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20,000-50,000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90,000-220,000</w:t>
            </w:r>
          </w:p>
        </w:tc>
      </w:tr>
    </w:tbl>
    <w:p>
      <w:pPr>
        <w:pStyle w:val="BodyText"/>
        <w:bidi w:val="0"/>
        <w:jc w:val="start"/>
        <w:rPr/>
      </w:pPr>
      <w:r>
        <w:rPr/>
        <w:t>DigitalOcean's published entry points support the infrastructure allowance: managed databases start at USD 15/month, object storage at USD 5/month, and Droplets at USD 4/month. The actual stack should not use the smallest Droplet; the seven services can initially share one adequately sized host, but the database and backups should be isolated. Avoid Kubernetes during the pilot.</w:t>
      </w:r>
    </w:p>
    <w:p>
      <w:pPr>
        <w:pStyle w:val="BodyText"/>
        <w:bidi w:val="0"/>
        <w:jc w:val="start"/>
        <w:rPr/>
      </w:pPr>
      <w:r>
        <w:rPr/>
        <w:t xml:space="preserve">For employees, do not budget salary alone. As of this canvass, the NCR non-agriculture minimum is PHP 755/day. Employer SSS is 10% of monthly salary credit (plus Employees' Compensation), with PhilHealth, Pag-IBIG, 13th-month pay, leave, equipment, and payroll administration on top. A PHP 25,000 support salary normally needs roughly </w:t>
      </w:r>
      <w:r>
        <w:rPr>
          <w:rStyle w:val="Strong"/>
        </w:rPr>
        <w:t>PHP 30,000-34,000/month of loaded employer budget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4. Payment, escrow, and app-store economics</w:t>
      </w:r>
    </w:p>
    <w:p>
      <w:pPr>
        <w:pStyle w:val="Heading3"/>
        <w:bidi w:val="0"/>
        <w:jc w:val="start"/>
        <w:rPr/>
      </w:pPr>
      <w:r>
        <w:rPr/>
        <w:t>Recommended payment design</w:t>
      </w:r>
    </w:p>
    <w:p>
      <w:pPr>
        <w:pStyle w:val="BodyText"/>
        <w:bidi w:val="0"/>
        <w:jc w:val="start"/>
        <w:rPr/>
      </w:pPr>
      <w:r>
        <w:rPr/>
        <w:t>Do not market or implement self-custodied "escrow" until Philippine payments counsel and the gateway approve the flow. BSP guidance says platforms that enable/process payments and merchant acquisition can fall within regulated OPS activities. Use a BSP-regulated partner's marketplace/wallet/split-payout product and describe the mechanism using the partner-approved terminology.</w:t>
      </w:r>
    </w:p>
    <w:p>
      <w:pPr>
        <w:pStyle w:val="BodyText"/>
        <w:bidi w:val="0"/>
        <w:jc w:val="start"/>
        <w:rPr/>
      </w:pPr>
      <w:r>
        <w:rPr/>
        <w:t>PayMongo's standard published prices, exclusive of VAT, currently include:</w:t>
      </w:r>
    </w:p>
    <w:tbl>
      <w:tblPr>
        <w:tblW w:w="65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8"/>
        <w:gridCol w:w="4433"/>
      </w:tblGrid>
      <w:tr>
        <w:trPr>
          <w:tblHeader w:val="true"/>
        </w:trPr>
        <w:tc>
          <w:tcPr>
            <w:tcW w:w="2138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Rail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Published fee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Online QR Ph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1.34%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Maya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1.79%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GCash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2.23%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Local cards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3.125% + PHP 13.39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Payout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10 per transaction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Wallet KYC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30 one time per account</w:t>
            </w:r>
          </w:p>
        </w:tc>
      </w:tr>
      <w:tr>
        <w:trPr/>
        <w:tc>
          <w:tcPr>
            <w:tcW w:w="2138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Wallet maintenance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15/account/month for 1-25,000 clients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wallet/marketplace product can therefore be materially more expensive than plain checkout. Obtain a written platform proposal before finalizing the take rate. Keep wallet balances off your own ledger unless counsel and the licensed partner confirm the structure.</w:t>
      </w:r>
    </w:p>
    <w:p>
      <w:pPr>
        <w:pStyle w:val="Heading3"/>
        <w:bidi w:val="0"/>
        <w:jc w:val="start"/>
        <w:rPr/>
      </w:pPr>
      <w:r>
        <w:rPr/>
        <w:t>App-store issue with boosts</w:t>
      </w:r>
    </w:p>
    <w:p>
      <w:pPr>
        <w:pStyle w:val="BodyText"/>
        <w:bidi w:val="0"/>
        <w:jc w:val="start"/>
        <w:rPr/>
      </w:pPr>
      <w:r>
        <w:rPr/>
        <w:t xml:space="preserve">Payments for cleaning, repairs, transport, and other physical services can use an external payment provider. Paid coverage/roaming boosts unlock visibility or functionality inside the app, so they are digital purchases. Apple explicitly uses social-post boosts as an in-app-purchase example, and Google requires Play billing for in-app digital features. Budget a </w:t>
      </w:r>
      <w:r>
        <w:rPr>
          <w:rStyle w:val="Strong"/>
        </w:rPr>
        <w:t>15% store fee</w:t>
      </w:r>
      <w:r>
        <w:rPr/>
        <w:t xml:space="preserve"> at small-business tiers where eligible, or remove paid boosts from the launch model. Do not assume that selling them through a website avoids every store rule.</w:t>
      </w:r>
    </w:p>
    <w:p>
      <w:pPr>
        <w:pStyle w:val="Heading3"/>
        <w:bidi w:val="0"/>
        <w:jc w:val="start"/>
        <w:rPr/>
      </w:pPr>
      <w:r>
        <w:rPr/>
        <w:t>Example unit economics</w:t>
      </w:r>
    </w:p>
    <w:p>
      <w:pPr>
        <w:pStyle w:val="BodyText"/>
        <w:bidi w:val="0"/>
        <w:jc w:val="start"/>
        <w:rPr/>
      </w:pPr>
      <w:r>
        <w:rPr/>
        <w:t>Assume 100 completed jobs/month, PHP 1,500 average job value, and a 12% platform commission:</w:t>
      </w:r>
    </w:p>
    <w:tbl>
      <w:tblPr>
        <w:tblW w:w="72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46"/>
        <w:gridCol w:w="1451"/>
      </w:tblGrid>
      <w:tr>
        <w:trPr>
          <w:tblHeader w:val="true"/>
        </w:trPr>
        <w:tc>
          <w:tcPr>
            <w:tcW w:w="584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Measure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140"/>
              <w:jc w:val="start"/>
              <w:rPr/>
            </w:pPr>
            <w:r>
              <w:rPr/>
              <w:t>Amount</w:t>
            </w:r>
          </w:p>
        </w:tc>
      </w:tr>
      <w:tr>
        <w:trPr/>
        <w:tc>
          <w:tcPr>
            <w:tcW w:w="584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Monthly GMV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150,000</w:t>
            </w:r>
          </w:p>
        </w:tc>
      </w:tr>
      <w:tr>
        <w:trPr/>
        <w:tc>
          <w:tcPr>
            <w:tcW w:w="584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Platform commission revenue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18,000</w:t>
            </w:r>
          </w:p>
        </w:tc>
      </w:tr>
      <w:tr>
        <w:trPr/>
        <w:tc>
          <w:tcPr>
            <w:tcW w:w="584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GCash processing at 2.23%, before VAT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3,345</w:t>
            </w:r>
          </w:p>
        </w:tc>
      </w:tr>
      <w:tr>
        <w:trPr/>
        <w:tc>
          <w:tcPr>
            <w:tcW w:w="584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100 payouts at PHP 10, before VAT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PHP 1,000</w:t>
            </w:r>
          </w:p>
        </w:tc>
      </w:tr>
      <w:tr>
        <w:trPr/>
        <w:tc>
          <w:tcPr>
            <w:tcW w:w="5846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/>
              <w:t>Contribution before refunds, tax, support, and fixed costs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60" w:after="140"/>
              <w:jc w:val="start"/>
              <w:rPr/>
            </w:pPr>
            <w:r>
              <w:rPr>
                <w:rStyle w:val="Strong"/>
              </w:rPr>
              <w:t>PHP 13,655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At the same assumptions, each completed job contributes about PHP 136.55 before VAT on gateway charges, tax, refunds, and fraud. Covering PHP 90,000 of monthly fixed cost requires about </w:t>
      </w:r>
      <w:r>
        <w:rPr>
          <w:rStyle w:val="Strong"/>
        </w:rPr>
        <w:t>660 completed jobs/month</w:t>
      </w:r>
      <w:r>
        <w:rPr/>
        <w:t xml:space="preserve"> (roughly PHP 990,000 GMV). At PHP 150,000 fixed cost it requires about </w:t>
      </w:r>
      <w:r>
        <w:rPr>
          <w:rStyle w:val="Strong"/>
        </w:rPr>
        <w:t>1,100 jobs/month</w:t>
      </w:r>
      <w:r>
        <w:rPr/>
        <w:t>. A 15% take rate, minimum service fee, customer-paid convenience fee where lawful, and batched payouts can improve this, but each affects conversion or provider earnings.</w:t>
      </w:r>
    </w:p>
    <w:p>
      <w:pPr>
        <w:pStyle w:val="Heading2"/>
        <w:bidi w:val="0"/>
        <w:jc w:val="start"/>
        <w:rPr/>
      </w:pPr>
      <w:r>
        <w:rPr/>
        <w:t>5. Recommended staged launch</w:t>
      </w:r>
    </w:p>
    <w:p>
      <w:pPr>
        <w:pStyle w:val="Heading3"/>
        <w:bidi w:val="0"/>
        <w:jc w:val="start"/>
        <w:rPr/>
      </w:pPr>
      <w:r>
        <w:rPr/>
        <w:t>Stage 1: legal and operational design (weeks 1-3)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Choose OPC versus regular corporation, city, office address, initial category,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take rate, and whether providers are businesses or individuals.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Get written advice on marketplace liability, worker classification, tax invoice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flow, payment custody, terms, privacy, and complaints.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Incorporate, reserve the brand, and start gateway underwriting early. </w:t>
      </w:r>
    </w:p>
    <w:p>
      <w:pPr>
        <w:pStyle w:val="Heading3"/>
        <w:bidi w:val="0"/>
        <w:jc w:val="start"/>
        <w:rPr/>
      </w:pPr>
      <w:r>
        <w:rPr/>
        <w:t>Stage 2: closed Android pilot (weeks 3-8)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One city and one or two low-risk service categories.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Cash or gateway-hosted checkout; no self-held escrow and no paid boosts.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Manually verify 20-50 providers and cap customer invitations.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Prove successful matching, completion, complaint resolution, repeat use, and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contribution per job before adding scale cost.</w:t>
      </w:r>
    </w:p>
    <w:p>
      <w:pPr>
        <w:pStyle w:val="Heading3"/>
        <w:bidi w:val="0"/>
        <w:jc w:val="start"/>
        <w:rPr/>
      </w:pPr>
      <w:r>
        <w:rPr/>
        <w:t>Stage 3: public paid beta (weeks 8-16)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Complete production hardening and independent review.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Launch organization-owned Android and iOS accounts.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Use partner-approved payment/payout flows and reconciliation.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Staff support during advertised service hours and publish the required </w:t>
      </w:r>
    </w:p>
    <w:p>
      <w:pPr>
        <w:pStyle w:val="BodyText"/>
        <w:numPr>
          <w:ilvl w:val="0"/>
          <w:numId w:val="0"/>
        </w:numPr>
        <w:bidi w:val="0"/>
        <w:ind w:hanging="0" w:start="60"/>
        <w:jc w:val="start"/>
        <w:rPr/>
      </w:pPr>
      <w:r>
        <w:rPr/>
        <w:t>business, complaint, privacy, pricing, cancellation, and merchant information.</w:t>
      </w:r>
    </w:p>
    <w:p>
      <w:pPr>
        <w:pStyle w:val="Heading2"/>
        <w:bidi w:val="0"/>
        <w:jc w:val="start"/>
        <w:rPr/>
      </w:pPr>
      <w:r>
        <w:rPr/>
        <w:t>6. Decisions that most change this estimate</w:t>
      </w:r>
    </w:p>
    <w:p>
      <w:pPr>
        <w:pStyle w:val="BodyText"/>
        <w:bidi w:val="0"/>
        <w:jc w:val="start"/>
        <w:rPr/>
      </w:pPr>
      <w:r>
        <w:rPr/>
        <w:t>Before requesting firm quotes, decide: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Registered city and whether the office is residential, virtual, or leased.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Single founder (OPC) or multiple founders/investors (regular corporation).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Cash-only pilot versus gateway payments and provider payouts.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Whether the platform charges commission, lead fees, subscriptions, or boosts.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Launch city, service categories, operating hours, and provider headcount.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r>
        <w:rPr/>
        <w:t xml:space="preserve">Founder-performed engineering versus contractors or employees.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ind w:hanging="283" w:start="769"/>
        <w:jc w:val="start"/>
        <w:rPr/>
      </w:pPr>
      <w:r>
        <w:rPr/>
        <w:t xml:space="preserve">Android first versus simultaneous Android and iOS. </w:t>
      </w:r>
    </w:p>
    <w:p>
      <w:pPr>
        <w:pStyle w:val="Heading2"/>
        <w:bidi w:val="0"/>
        <w:jc w:val="start"/>
        <w:rPr/>
      </w:pPr>
      <w:r>
        <w:rPr/>
        <w:t>Primary pricing and regulatory sources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2">
        <w:r>
          <w:rPr>
            <w:rStyle w:val="Hyperlink"/>
          </w:rPr>
          <w:t>SEC registration calculator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3">
        <w:r>
          <w:rPr>
            <w:rStyle w:val="Hyperlink"/>
          </w:rPr>
          <w:t>DTI business-name fees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4">
        <w:r>
          <w:rPr>
            <w:rStyle w:val="Hyperlink"/>
          </w:rPr>
          <w:t>BIR online-seller registration guide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5">
        <w:r>
          <w:rPr>
            <w:rStyle w:val="Hyperlink"/>
          </w:rPr>
          <w:t>DTI Trustmark FAQ and fees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6">
        <w:r>
          <w:rPr>
            <w:rStyle w:val="Hyperlink"/>
          </w:rPr>
          <w:t>DTI Internet Transactions Act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7">
        <w:r>
          <w:rPr>
            <w:rStyle w:val="Hyperlink"/>
          </w:rPr>
          <w:t>NPC registration fees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8">
        <w:r>
          <w:rPr>
            <w:rStyle w:val="Hyperlink"/>
          </w:rPr>
          <w:t>BSP operator-of-payment-system overview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9">
        <w:r>
          <w:rPr>
            <w:rStyle w:val="Hyperlink"/>
          </w:rPr>
          <w:t>PayMongo pricing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0">
        <w:r>
          <w:rPr>
            <w:rStyle w:val="Hyperlink"/>
          </w:rPr>
          <w:t>Stripe global availability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1">
        <w:r>
          <w:rPr>
            <w:rStyle w:val="Hyperlink"/>
          </w:rPr>
          <w:t>IPOPHL trademark fees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2">
        <w:r>
          <w:rPr>
            <w:rStyle w:val="Hyperlink"/>
          </w:rPr>
          <w:t>Google Play account fee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3">
        <w:r>
          <w:rPr>
            <w:rStyle w:val="Hyperlink"/>
          </w:rPr>
          <w:t>Google Play payments policy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4">
        <w:r>
          <w:rPr>
            <w:rStyle w:val="Hyperlink"/>
          </w:rPr>
          <w:t>Apple Developer membership and commissions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5">
        <w:r>
          <w:rPr>
            <w:rStyle w:val="Hyperlink"/>
          </w:rPr>
          <w:t>Apple App Review payment rules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6">
        <w:r>
          <w:rPr>
            <w:rStyle w:val="Hyperlink"/>
          </w:rPr>
          <w:t>DigitalOcean pricing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start="769"/>
        <w:jc w:val="start"/>
        <w:rPr/>
      </w:pPr>
      <w:hyperlink r:id="rId17">
        <w:r>
          <w:rPr>
            <w:rStyle w:val="Hyperlink"/>
          </w:rPr>
          <w:t>NCR minimum wage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140"/>
        <w:ind w:hanging="283" w:start="769"/>
        <w:jc w:val="start"/>
        <w:rPr/>
      </w:pPr>
      <w:hyperlink r:id="rId18">
        <w:r>
          <w:rPr>
            <w:rStyle w:val="Hyperlink"/>
          </w:rPr>
          <w:t>SSS contribution rate</w:t>
        </w:r>
      </w:hyperlink>
      <w:r>
        <w:rPr/>
        <w:t xml:space="preserve"> </w:t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7"/>
    </w:pPr>
    <w:rPr>
      <w:rFonts w:ascii="Calibri;Arial;sans-serif" w:hAnsi="Calibri;Arial;sans-serif" w:eastAsia="Calibri;Arial;sans-serif" w:cs="Calibri;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6" w:space="7" w:color="4F81BD"/>
      </w:pBdr>
      <w:spacing w:before="240" w:after="140"/>
    </w:pPr>
    <w:rPr>
      <w:b/>
      <w:bCs/>
      <w:color w:val="17365D"/>
      <w:sz w:val="46"/>
      <w:szCs w:val="46"/>
    </w:rPr>
  </w:style>
  <w:style w:type="paragraph" w:styleId="Heading2">
    <w:name w:val="heading 2"/>
    <w:basedOn w:val="Heading"/>
    <w:next w:val="BodyText"/>
    <w:qFormat/>
    <w:pPr>
      <w:keepNext w:val="true"/>
      <w:spacing w:before="340" w:after="120"/>
      <w:ind w:start="340" w:end="340"/>
      <w:outlineLvl w:val="1"/>
    </w:pPr>
    <w:rPr>
      <w:rFonts w:ascii="Liberation Serif" w:hAnsi="Liberation Serif" w:eastAsia="Noto Serif CJK SC" w:cs="Noto Sans Devanagari"/>
      <w:b/>
      <w:bCs/>
      <w:color w:val="17365D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80"/>
      <w:ind w:start="240" w:end="240"/>
      <w:outlineLvl w:val="2"/>
    </w:pPr>
    <w:rPr>
      <w:rFonts w:ascii="Liberation Serif" w:hAnsi="Liberation Serif" w:eastAsia="Noto Serif CJK SC" w:cs="Noto Sans Devanagari"/>
      <w:b/>
      <w:bCs/>
      <w:color w:val="365F91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563C1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2F2F2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0563C1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60" w:after="140"/>
      <w:ind w:start="60" w:end="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7365D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ointment.sec.gov.ph/online-services/registration-calculator/" TargetMode="External"/><Relationship Id="rId3" Type="http://schemas.openxmlformats.org/officeDocument/2006/relationships/hyperlink" Target="https://bnrs.dti.gov.ph/faq" TargetMode="External"/><Relationship Id="rId4" Type="http://schemas.openxmlformats.org/officeDocument/2006/relationships/hyperlink" Target="https://bir-cdn.bir.gov.ph/BIR/pdf/TAXPAYERS%20GUIDE%20FOR%20ONLINE%20SELLERS.pdf" TargetMode="External"/><Relationship Id="rId5" Type="http://schemas.openxmlformats.org/officeDocument/2006/relationships/hyperlink" Target="https://trustmark.dti.gov.ph/faqs" TargetMode="External"/><Relationship Id="rId6" Type="http://schemas.openxmlformats.org/officeDocument/2006/relationships/hyperlink" Target="https://ecommerce.dti.gov.ph/internet-transactions-act-of-2023/" TargetMode="External"/><Relationship Id="rId7" Type="http://schemas.openxmlformats.org/officeDocument/2006/relationships/hyperlink" Target="https://privacy.gov.ph/npc-implements-registration-fees-and-charges-and-submission-of-sworn-declaration-and-undertaking-for-exemption-from-data-processing-system-registration/" TargetMode="External"/><Relationship Id="rId8" Type="http://schemas.openxmlformats.org/officeDocument/2006/relationships/hyperlink" Target="https://www.bsp.gov.ph/SitePages/PaymentsAndSettlements/PaymentsAndSettlements.aspx" TargetMode="External"/><Relationship Id="rId9" Type="http://schemas.openxmlformats.org/officeDocument/2006/relationships/hyperlink" Target="https://www.paymongo.com/pricing" TargetMode="External"/><Relationship Id="rId10" Type="http://schemas.openxmlformats.org/officeDocument/2006/relationships/hyperlink" Target="https://stripe.com/global" TargetMode="External"/><Relationship Id="rId11" Type="http://schemas.openxmlformats.org/officeDocument/2006/relationships/hyperlink" Target="https://www.ipophil.gov.ph/services/schedule-of-fees/trademark-related-fees/" TargetMode="External"/><Relationship Id="rId12" Type="http://schemas.openxmlformats.org/officeDocument/2006/relationships/hyperlink" Target="https://support.google.com/googleplay/android-developer/answer/6112435" TargetMode="External"/><Relationship Id="rId13" Type="http://schemas.openxmlformats.org/officeDocument/2006/relationships/hyperlink" Target="https://support.google.com/googleplay/android-developer/answer/9858738" TargetMode="External"/><Relationship Id="rId14" Type="http://schemas.openxmlformats.org/officeDocument/2006/relationships/hyperlink" Target="https://developer.apple.com/programs/whats-included/" TargetMode="External"/><Relationship Id="rId15" Type="http://schemas.openxmlformats.org/officeDocument/2006/relationships/hyperlink" Target="https://developer.apple.com/app-store/review/guidelines/" TargetMode="External"/><Relationship Id="rId16" Type="http://schemas.openxmlformats.org/officeDocument/2006/relationships/hyperlink" Target="https://www.digitalocean.com/pricing" TargetMode="External"/><Relationship Id="rId17" Type="http://schemas.openxmlformats.org/officeDocument/2006/relationships/hyperlink" Target="https://nwpc.dole.gov.ph/ncr/" TargetMode="External"/><Relationship Id="rId18" Type="http://schemas.openxmlformats.org/officeDocument/2006/relationships/hyperlink" Target="https://www.sss.gov.ph/pay-contribution/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LibreOffice_project/c57499dd6547dfa62680c63e3e97464fa4d493a2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Project Libertarian Operating Cost Canvass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