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3D62"/>
          <w:sz w:val="44"/>
          <w:szCs w:val="44"/>
        </w:rPr>
        <w:t xml:space="preserve">Widget Integration Documentation</w:t>
      </w:r>
    </w:p>
    <w:p>
      <w:pPr>
        <w:spacing w:after="40"/>
      </w:pPr>
      <w:r>
        <w:rPr>
          <w:color w:val="12ADEF"/>
          <w:sz w:val="26"/>
          <w:szCs w:val="26"/>
        </w:rPr>
        <w:t xml:space="preserve">Structural Review &amp; Recommended Reorganization</w:t>
      </w:r>
    </w:p>
    <w:p>
      <w:pPr>
        <w:pBdr>
          <w:bottom w:val="single" w:color="12ADEF" w:sz="6" w:space="4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Prepared for the Arcube Integration Guide  -  July 2026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of This Document</w:t>
      </w:r>
    </w:p>
    <w:p>
      <w:pPr>
        <w:spacing w:after="120" w:line="276"/>
      </w:pPr>
      <w:r>
        <w:t xml:space="preserve">This document reviews the current Widget Integration section of the Arcube documentation and proposes a cleaner structure. It does not change the live docs. It captures the problems found in the current version, a recommended page and section order, and the concrete inconsistencies that should be fixed regardless of any restructure.</w:t>
      </w:r>
    </w:p>
    <w:p>
      <w:pPr>
        <w:spacing w:after="120" w:line="276"/>
      </w:pPr>
      <w:r>
        <w:t xml:space="preserve">The underlying material is strong. The token/security model, the event contract, and the ancillary payload reference are all thorough. The issues are about organisation, duplication, and a handful of copy-paste inconsistencies that would trip up an integrator following the guide end to end.</w:t>
      </w:r>
    </w:p>
    <w:p>
      <w:pPr>
        <w:pStyle w:val="Heading1"/>
      </w:pPr>
      <w:r>
        <w:t xml:space="preserve">2. Summary Verdict</w:t>
      </w:r>
    </w:p>
    <w:p>
      <w:pPr>
        <w:spacing w:after="120" w:line="276"/>
      </w:pPr>
      <w:r>
        <w:rPr>
          <w:b/>
          <w:bCs/>
        </w:rPr>
        <w:t xml:space="preserve">Needs restructuring, not a rewrite. </w:t>
      </w:r>
      <w:r>
        <w:t xml:space="preserve">The content should be reordered so a developer can render the widget first and reach deeper theory later, the duplicated flow/architecture prose should be consolidated, and four concrete inconsistencies should be corrected.</w:t>
      </w:r>
    </w:p>
    <w:p>
      <w:pPr>
        <w:pStyle w:val="Heading3"/>
      </w:pPr>
      <w:r>
        <w:t xml:space="preserve">Highest-priority fixes (effectively bugs)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Inconsistent mount element IDs across code samples (</w:t>
      </w:r>
      <w:r>
        <w:rPr>
          <w:rFonts w:ascii="Consolas" w:cs="Consolas" w:eastAsia="Consolas" w:hAnsi="Consolas"/>
          <w:sz w:val="20"/>
          <w:szCs w:val="20"/>
        </w:rPr>
        <w:t xml:space="preserve">arcube-widget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arcube-widget-container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arcube-inline-widget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customer</w:t>
      </w:r>
      <w:r>
        <w:t xml:space="preserve"> object appears in two different schemas (camelCase vs snake_case).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pointOfSale</w:t>
      </w:r>
      <w:r>
        <w:t xml:space="preserve"> has three values but the </w:t>
      </w:r>
      <w:r>
        <w:rPr>
          <w:rFonts w:ascii="Consolas" w:cs="Consolas" w:eastAsia="Consolas" w:hAnsi="Consolas"/>
          <w:sz w:val="20"/>
          <w:szCs w:val="20"/>
        </w:rPr>
        <w:t xml:space="preserve">WIDGET</w:t>
      </w:r>
      <w:r>
        <w:t xml:space="preserve"> order-creation path is never documented.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correlationId</w:t>
      </w:r>
      <w:r>
        <w:t xml:space="preserve"> is called optional in one place and treated as required in another.</w:t>
      </w:r>
    </w:p>
    <w:p>
      <w:r>
        <w:br w:type="page"/>
      </w:r>
    </w:p>
    <w:p>
      <w:pPr>
        <w:pStyle w:val="Heading1"/>
      </w:pPr>
      <w:r>
        <w:t xml:space="preserve">3. Problems Found in the Current Structure</w:t>
      </w:r>
    </w:p>
    <w:p>
      <w:pPr>
        <w:pStyle w:val="Heading2"/>
      </w:pPr>
      <w:r>
        <w:t xml:space="preserve">3.1 Concrete inconsistencies (bugs)</w:t>
      </w:r>
    </w:p>
    <w:p>
      <w:pPr>
        <w:pStyle w:val="Heading3"/>
      </w:pPr>
      <w:r>
        <w:t xml:space="preserve">Mount element ID differs in almost every snippet</w:t>
      </w:r>
    </w:p>
    <w:p>
      <w:pPr>
        <w:spacing w:after="120" w:line="276"/>
      </w:pPr>
      <w:r>
        <w:t xml:space="preserve">This is the most serious issue. The widget container is referred to by three different IDs across the guide: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arcube-widget</w:t>
      </w:r>
      <w:r>
        <w:t xml:space="preserve"> - in “Rendering the Widget” and the auto-close section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arcube-widget-container</w:t>
      </w:r>
      <w:r>
        <w:t xml:space="preserve"> - in the resize helper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arcube-inline-widget</w:t>
      </w:r>
      <w:r>
        <w:t xml:space="preserve"> - in “Sending Updates to the Widget”</w:t>
      </w:r>
    </w:p>
    <w:p>
      <w:pPr>
        <w:spacing w:after="120" w:line="276"/>
      </w:pPr>
      <w:r>
        <w:t xml:space="preserve">A developer copy-pasting these snippets ends up with code that silently fails to find its own elements. Pick one canonical ID and use it everywhere.</w:t>
      </w:r>
    </w:p>
    <w:p>
      <w:pPr>
        <w:pStyle w:val="Heading3"/>
      </w:pPr>
      <w:r>
        <w:t xml:space="preserve">The customer object has two conflicting shapes</w:t>
      </w:r>
    </w:p>
    <w:p>
      <w:pPr>
        <w:spacing w:after="120" w:line="276"/>
      </w:pPr>
      <w:r>
        <w:t xml:space="preserve">In “Passenger Details Prefill” the customer object is camelCase (</w:t>
      </w:r>
      <w:r>
        <w:rPr>
          <w:rFonts w:ascii="Consolas" w:cs="Consolas" w:eastAsia="Consolas" w:hAnsi="Consolas"/>
          <w:sz w:val="20"/>
          <w:szCs w:val="20"/>
        </w:rPr>
        <w:t xml:space="preserve">dateOfBirth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phoneNumber</w:t>
      </w:r>
      <w:r>
        <w:t xml:space="preserve">). In the cart snapshot and the order payload it is snake_case (</w:t>
      </w:r>
      <w:r>
        <w:rPr>
          <w:rFonts w:ascii="Consolas" w:cs="Consolas" w:eastAsia="Consolas" w:hAnsi="Consolas"/>
          <w:sz w:val="20"/>
          <w:szCs w:val="20"/>
        </w:rPr>
        <w:t xml:space="preserve">day_of_birth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country_code_name</w:t>
      </w:r>
      <w:r>
        <w:t xml:space="preserve">). Same conceptual object, two schemas - this reads as a mistake and should be reconciled or explicitly explained.</w:t>
      </w:r>
    </w:p>
    <w:p>
      <w:pPr>
        <w:pStyle w:val="Heading3"/>
      </w:pPr>
      <w:r>
        <w:t xml:space="preserve">pointOfSale is overloaded and one path is undocumented</w:t>
      </w:r>
    </w:p>
    <w:p>
      <w:pPr>
        <w:spacing w:after="120" w:line="276"/>
      </w:pPr>
      <w:r>
        <w:t xml:space="preserve">The render config uses </w:t>
      </w:r>
      <w:r>
        <w:rPr>
          <w:rFonts w:ascii="Consolas" w:cs="Consolas" w:eastAsia="Consolas" w:hAnsi="Consolas"/>
          <w:sz w:val="20"/>
          <w:szCs w:val="20"/>
        </w:rPr>
        <w:t xml:space="preserve">pointOfSale: "WIDGET"</w:t>
      </w:r>
      <w:r>
        <w:t xml:space="preserve">, the PNR feed uses </w:t>
      </w:r>
      <w:r>
        <w:rPr>
          <w:rFonts w:ascii="Consolas" w:cs="Consolas" w:eastAsia="Consolas" w:hAnsi="Consolas"/>
          <w:sz w:val="20"/>
          <w:szCs w:val="20"/>
        </w:rPr>
        <w:t xml:space="preserve">API</w:t>
      </w:r>
      <w:r>
        <w:t xml:space="preserve">, and the entire Order API section documents only </w:t>
      </w:r>
      <w:r>
        <w:rPr>
          <w:rFonts w:ascii="Consolas" w:cs="Consolas" w:eastAsia="Consolas" w:hAnsi="Consolas"/>
          <w:sz w:val="20"/>
          <w:szCs w:val="20"/>
        </w:rPr>
        <w:t xml:space="preserve">AIRLINE_WEBSITE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WIDGET</w:t>
      </w:r>
      <w:r>
        <w:t xml:space="preserve"> flow (widget owns checkout) is introduced but its order-creation path is never shown - a gap the reader will notice.</w:t>
      </w:r>
    </w:p>
    <w:p>
      <w:pPr>
        <w:pStyle w:val="Heading3"/>
      </w:pPr>
      <w:r>
        <w:t xml:space="preserve">correlationId is described inconsistently</w:t>
      </w:r>
    </w:p>
    <w:p>
      <w:pPr>
        <w:spacing w:after="120" w:line="276"/>
      </w:pPr>
      <w:r>
        <w:t xml:space="preserve">“Rendering the Widget” calls </w:t>
      </w:r>
      <w:r>
        <w:rPr>
          <w:rFonts w:ascii="Consolas" w:cs="Consolas" w:eastAsia="Consolas" w:hAnsi="Consolas"/>
          <w:sz w:val="20"/>
          <w:szCs w:val="20"/>
        </w:rPr>
        <w:t xml:space="preserve">correlationId</w:t>
      </w:r>
      <w:r>
        <w:t xml:space="preserve"> optional, but “Cart Persistence” treats it as essentially required for cart recovery. The emphasis contradicts itself and should be aligned.</w:t>
      </w:r>
    </w:p>
    <w:p>
      <w:pPr>
        <w:pStyle w:val="Heading2"/>
      </w:pPr>
      <w:r>
        <w:t xml:space="preserve">3.2 Structural and narrative issues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Heavy duplication. </w:t>
      </w:r>
      <w:r>
        <w:t xml:space="preserve">Both pages open with an identical “End-to-End Flow” section and the same diagram. Within the implementation page the token flow is told three times across Figures 1-3, and the “secret never reaches the browser” point is repeated four times.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Overlapping conceptual sections. </w:t>
      </w:r>
      <w:r>
        <w:t xml:space="preserve">“How It Works,” “Operating Model,” and “Integration Flow” cover largely the same ground.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Ordering works against the reader. </w:t>
      </w:r>
      <w:r>
        <w:t xml:space="preserve">Token flow and system architecture are explained before the guide ever shows how to render the widget. Developers want the mount + init snippet early, then the deeper detail.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Confusing field naming. </w:t>
      </w:r>
      <w:r>
        <w:rPr>
          <w:rFonts w:ascii="Consolas" w:cs="Consolas" w:eastAsia="Consolas" w:hAnsi="Consolas"/>
          <w:sz w:val="20"/>
          <w:szCs w:val="20"/>
        </w:rPr>
        <w:t xml:space="preserve">sessionId: "YOUR_PNR"</w:t>
      </w:r>
      <w:r>
        <w:t xml:space="preserve"> names a field sessionId but populates it with the PNR, while PNR also appears as its own concept elsewhere.</w:t>
      </w:r>
    </w:p>
    <w:p>
      <w:r>
        <w:br w:type="page"/>
      </w:r>
    </w:p>
    <w:p>
      <w:pPr>
        <w:pStyle w:val="Heading1"/>
      </w:pPr>
      <w:r>
        <w:t xml:space="preserve">4. Recommended Structure</w:t>
      </w:r>
    </w:p>
    <w:p>
      <w:pPr>
        <w:spacing w:after="120" w:line="276"/>
      </w:pPr>
      <w:r>
        <w:t xml:space="preserve">Keep the two-page split (Overview + Implementation), but tighten the responsibilities of each and reorder the implementation page around the developer's actual path: understand the model, render it, wire up events, then handle payment and edge cases.</w:t>
      </w:r>
    </w:p>
    <w:p>
      <w:pPr>
        <w:pStyle w:val="Heading2"/>
      </w:pPr>
      <w:r>
        <w:t xml:space="preserve">4.1 Page A - Overview (conceptual only)</w:t>
      </w:r>
    </w:p>
    <w:p>
      <w:pPr>
        <w:spacing w:after="120" w:line="276"/>
      </w:pPr>
      <w:r>
        <w:t xml:space="preserve">The Overview should answer “what is this and how does it fit” and nothing more. Move all code and API detail to the Implementation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What the widget is / what it does not replace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End-to-end flow diagram (single source - remove the duplicate on the Implementation page)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Roles: airline IBE, airline CDN/edge, Arcube backend, payment ownership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Customization, benefits, and a one-paragraph security summary (details live in Implementation)</w:t>
      </w:r>
    </w:p>
    <w:p>
      <w:pPr>
        <w:pStyle w:val="Heading2"/>
      </w:pPr>
      <w:r>
        <w:t xml:space="preserve">4.2 Page B - Implementation (recommended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54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goes here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Prerequisites &amp; Concepts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Tenant ID, environments, the four moving parts. One short architecture diagram (not three).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Quick Start: Render the Widget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mount div + window.Widget.init snippet first, so a developer sees something working fast. Single canonical mount ID.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Configuration Reference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table of every init option (tenantId, sessionId, correlationId, pointOfSale, currency, ancillaryCategories, themeJsonUrl...). Resolve the optional/required wording here once.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Authentication &amp; Token 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secure token-vending model, consolidated to one narrative + one sequence diagram + one HMAC detail diagram.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PNR Feed to Arcube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 passenger data before render. Kept close to auth since it is a pre-render backend step.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Event Contract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full parent-widget event table up front; the add-to-cart and send-to-widget examples then reference it.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Cart Handling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Catching add events, selectedAncillaries reference, sending removes/clears, prefill, persistence.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Payment &amp; Order Creation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Both pointOfSale paths documented: WIDGET (widget owns checkout) AND AIRLINE_WEBSITE (externalPSP). Price Verify sits here.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Styling &amp; Branding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Theme JSON contract, unchanged.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A3D62"/>
              </w:rPr>
              <w:t xml:space="preserve">Lifecycle, Errors &amp; Edge Cases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Mount/unmount rules, auto-close on no ancillaries, error handling, resize.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Key change: </w:t>
      </w:r>
      <w:r>
        <w:t xml:space="preserve">sections 1-3 get a developer to a rendered widget before any deep theory. Auth, PNR feed, and payment detail follow once the reader has context.</w:t>
      </w:r>
    </w:p>
    <w:p>
      <w:r>
        <w:br w:type="page"/>
      </w:r>
    </w:p>
    <w:p>
      <w:pPr>
        <w:pStyle w:val="Heading1"/>
      </w:pPr>
      <w:r>
        <w:t xml:space="preserve">5. Before / After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Current order (Implementation)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Recommended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End-to-End Flow (duplicate)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Prerequisites &amp; Concepts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Authentication &amp; Token Flow (3 diagrams)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Quick Start: Render the Widget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System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Configuration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Integration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Authentication &amp; Token Flow (consolidated)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Rendering the Widget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PNR Feed to Arcube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Add to Cart / selectedAncillaries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Event Contract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Auto-close / Sending Updates / Prefill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Cart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Cart Persistence / Price 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Payment &amp; Order Creation (both POS paths)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Order API (AIRLINE_WEBSITE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Styling &amp; Branding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555555"/>
              </w:rPr>
              <w:t xml:space="preserve">Event Contract / Styling /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A3D62"/>
              </w:rPr>
              <w:t xml:space="preserve">Lifecycle, Errors &amp; Edge Cases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Concrete Fix Checklist</w:t>
      </w:r>
    </w:p>
    <w:p>
      <w:pPr>
        <w:spacing w:after="120" w:line="276"/>
      </w:pPr>
      <w:r>
        <w:t xml:space="preserve">These can be applied independently of the restructure and should be done regardless.</w:t>
      </w:r>
    </w:p>
    <w:tbl>
      <w:tblPr>
        <w:tblW w:type="dxa" w:w="9360"/>
        <w:tblBorders>
          <w:top w:val="single" w:color="DDDDDD" w:sz="2"/>
          <w:left w:val="single" w:color="D75656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9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MUST FIX  </w:t>
            </w:r>
            <w:r>
              <w:t xml:space="preserve">Standardise on a single mount element ID (e.g.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arcube-widget</w:t>
            </w:r>
            <w:r>
              <w:t xml:space="preserve">) in every snippet: render, resize, auto-close, and send-to-widget.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D75656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9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MUST FIX  </w:t>
            </w:r>
            <w:r>
              <w:t xml:space="preserve">Reconcile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</w:t>
            </w:r>
            <w:r>
              <w:t xml:space="preserve"> object schema - use one casing convention, or clearly document that prefill and cart/order use different shapes and why.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D75656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9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MUST FIX  </w:t>
            </w:r>
            <w:r>
              <w:t xml:space="preserve">Document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pointOfSale: WIDGET</w:t>
            </w:r>
            <w:r>
              <w:t xml:space="preserve"> order-creation path, or state explicitly that WIDGET requires no airline-side order call.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D75656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9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MUST FIX  </w:t>
            </w:r>
            <w:r>
              <w:t xml:space="preserve">Align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correlationId</w:t>
            </w:r>
            <w:r>
              <w:t xml:space="preserve"> wording: state once that it is technically optional but required for cart persistence and correlation.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12ADEF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SHOULD FIX  </w:t>
            </w:r>
            <w:r>
              <w:t xml:space="preserve">Remove the duplicate End-to-End Flow section/diagram; keep it on the Overview only.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12ADEF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SHOULD FIX  </w:t>
            </w:r>
            <w:r>
              <w:t xml:space="preserve">Consolidate the three token-flow diagrams into one narrative with, at most, one sequence diagram and one HMAC-detail diagram.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12ADEF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SHOULD FIX  </w:t>
            </w:r>
            <w:r>
              <w:t xml:space="preserve">Merge “How It Works,” “Operating Model,” and “Integration Flow” into a single flow section.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2"/>
          <w:left w:val="single" w:color="2E9E5B" w:sz="18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A3D62"/>
              </w:rPr>
              <w:t xml:space="preserve">CONSIDER  </w:t>
            </w:r>
            <w:r>
              <w:t xml:space="preserve">Rename or annotate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sessionId</w:t>
            </w:r>
            <w:r>
              <w:t xml:space="preserve"> so its relationship to the PNR is unambiguous.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Suggested Next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Approve the recommended section order (Section 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the four MUST FIX items first - they are low-effort and prevent real integration failures.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Restructure the Implementation page into the 10 sections, moving existing prose in with minimal edits.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 a final copy-paste test: follow the guide top to bottom as a new integrator and confirm every snippet references consistent IDs and fields.</w:t>
      </w:r>
    </w:p>
    <w:p>
      <w:pPr>
        <w:spacing w:before="240"/>
      </w:pPr>
      <w:r>
        <w:rPr>
          <w:i/>
          <w:iCs/>
          <w:color w:val="555555"/>
        </w:rPr>
        <w:t xml:space="preserve">This is a proposal for discussion - no live documentation has been changed.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Arcube Widget Integration - Structural Review   |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ADEF" w:sz="4" w:space="4"/>
      </w:pBdr>
      <w:spacing w:after="160" w:before="280"/>
      <w:outlineLvl w:val="0"/>
    </w:pPr>
    <w:rPr>
      <w:rFonts w:ascii="Arial" w:cs="Arial" w:eastAsia="Arial" w:hAnsi="Arial"/>
      <w:b/>
      <w:bCs/>
      <w:color w:val="0A3D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2ADE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A3D6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2026-07-09T10:05:18.978Z</dcterms:created>
  <dcterms:modified xsi:type="dcterms:W3CDTF">2026-07-09T10:05:18.979Z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