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D4ED8"/>
          <w:sz w:val="18"/>
        </w:rPr>
        <w:t>SMART INDIA HACKATHON 2026  |  TEAM 087 (DEN OF DEVS)  |  PS: SIH26117</w:t>
      </w:r>
    </w:p>
    <w:p>
      <w:pPr>
        <w:spacing w:after="80"/>
      </w:pPr>
      <w:r>
        <w:rPr>
          <w:rFonts w:ascii="Arial" w:hAnsi="Arial"/>
          <w:b/>
          <w:color w:val="0F172A"/>
          <w:sz w:val="44"/>
        </w:rPr>
        <w:t>DETAILED PROJECT WORKFLOW</w:t>
      </w:r>
    </w:p>
    <w:p>
      <w:pPr>
        <w:spacing w:after="240"/>
      </w:pPr>
      <w:r>
        <w:rPr>
          <w:rFonts w:ascii="Arial" w:hAnsi="Arial"/>
          <w:i/>
          <w:color w:val="64748B"/>
          <w:sz w:val="22"/>
        </w:rPr>
        <w:t>Eight-Stage Operational Lifecycle for Governed Industrial AI Workflows</w:t>
      </w:r>
    </w:p>
    <w:p>
      <w:pPr>
        <w:spacing w:after="240"/>
        <w:pBdr>
          <w:bottom w:val="single" w:sz="12" w:space="1" w:color="0F172A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1. The 8-Stage Closed-Loop Operational Cycle</w:t>
      </w:r>
    </w:p>
    <w:p>
      <w:pPr>
        <w:spacing w:after="100" w:line="276" w:lineRule="auto"/>
      </w:pPr>
      <w:r>
        <w:rPr>
          <w:rFonts w:ascii="Arial" w:hAnsi="Arial"/>
          <w:color w:val="334155"/>
          <w:sz w:val="20"/>
        </w:rPr>
        <w:t>Project CogniShift structures plant workflows into a closed-loop, eight-stage operational cycle: CAPTURE -&gt; PROCESS -&gt; ANALYZE -&gt; ALERT -&gt; VERIFY -&gt; ACT -&gt; LEARN -&gt; IMPROVE. This structured pipeline ensures that every relevant engineering calculation is executed and validated through a controlled sandbox workflow, and authorized by human shift supervisors before any equipment permit is released.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color w:val="1D4ED8"/>
                <w:sz w:val="20"/>
              </w:rPr>
              <w:t>Sovereignty &amp; Safety Rule</w:t>
              <w:br/>
            </w:r>
            <w:r>
              <w:rPr>
                <w:rFonts w:ascii="Arial" w:hAnsi="Arial"/>
                <w:color w:val="334155"/>
                <w:sz w:val="19"/>
              </w:rPr>
              <w:t>At no point in this workflow does the AI have direct physical actuation capability. The system transitions strictly between deterministic, auditable states, concluding in cryptographic dual-supervisor sign-off.</w:t>
            </w:r>
          </w:p>
        </w:tc>
      </w:tr>
    </w:tbl>
    <w:p>
      <w:pPr>
        <w:spacing w:after="120"/>
      </w:pPr>
    </w:p>
    <w:p>
      <w:pPr>
        <w:spacing w:before="160" w:after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29184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gnishift_workflow_wheel_curv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color w:val="64748B"/>
          <w:sz w:val="18"/>
        </w:rPr>
        <w:t>Figure 1: Project CogniShift 8-Stage Sovereign Industrial Workflow Cycle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3"/>
        </w:rPr>
        <w:t>Stage 1: CAPTURE: Air-Gapped Ingestion &amp; Multi-Source Data Ingestion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Blueprints &amp; Schematics: </w:t>
      </w:r>
      <w:r>
        <w:rPr>
          <w:rFonts w:ascii="Arial" w:hAnsi="Arial"/>
          <w:color w:val="334155"/>
          <w:sz w:val="20"/>
        </w:rPr>
        <w:t>Ingests scanned Piping &amp; Instrumentation Diagrams (P&amp;IDs) and electrical single-line drawings without cloud processing.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Analog Gauge Feeds: </w:t>
      </w:r>
      <w:r>
        <w:rPr>
          <w:rFonts w:ascii="Arial" w:hAnsi="Arial"/>
          <w:color w:val="334155"/>
          <w:sz w:val="20"/>
        </w:rPr>
        <w:t>Captures images of Bourdon tube pressure dials and level indicators directly from local maintenance cameras or operator tablets.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Engineering Manuals: </w:t>
      </w:r>
      <w:r>
        <w:rPr>
          <w:rFonts w:ascii="Arial" w:hAnsi="Arial"/>
          <w:color w:val="334155"/>
          <w:sz w:val="20"/>
        </w:rPr>
        <w:t>Accepts 500+ page PDF operating manuals, ASME standard codes, and manufacturer equipment rating plates.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Network Footprint: </w:t>
      </w:r>
      <w:r>
        <w:rPr>
          <w:rFonts w:ascii="Arial" w:hAnsi="Arial"/>
          <w:color w:val="334155"/>
          <w:sz w:val="20"/>
        </w:rPr>
        <w:t>Zero public-cloud egress during operation; all ingestion operates locally within the plant network perimeter.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3"/>
        </w:rPr>
        <w:t>Stage 2: PROCESS: Local OCR Extraction &amp; Spatial Vectorization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Optical Character Recognition: </w:t>
      </w:r>
      <w:r>
        <w:rPr>
          <w:rFonts w:ascii="Arial" w:hAnsi="Arial"/>
          <w:color w:val="334155"/>
          <w:sz w:val="20"/>
        </w:rPr>
        <w:t>RapidOCR extracts text, line tags, and instrument bubble codes (e.g., 'PT-101', 'V-102') locally on CPU.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Dial Gauge Trigonometry: </w:t>
      </w:r>
      <w:r>
        <w:rPr>
          <w:rFonts w:ascii="Arial" w:hAnsi="Arial"/>
          <w:color w:val="334155"/>
          <w:sz w:val="20"/>
        </w:rPr>
        <w:t>Calculates needle pointer angles against calibrated minimum and maximum dial markings to infer physical pressures.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CPU Vector Embeddings: </w:t>
      </w:r>
      <w:r>
        <w:rPr>
          <w:rFonts w:ascii="Arial" w:hAnsi="Arial"/>
          <w:color w:val="334155"/>
          <w:sz w:val="20"/>
        </w:rPr>
        <w:t>FastEmbed generates local CPU embeddings with low-latency inference and no GPU requirement.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Local ChromaDB Indexing: </w:t>
      </w:r>
      <w:r>
        <w:rPr>
          <w:rFonts w:ascii="Arial" w:hAnsi="Arial"/>
          <w:color w:val="334155"/>
          <w:sz w:val="20"/>
        </w:rPr>
        <w:t>Stores chunk vectors alongside page numbers, file hashes, and equipment tags in local on-disk storage.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3"/>
        </w:rPr>
        <w:t>Stage 3: ANALYZE: 7-Intent Semantic Routing &amp; Grounded Context Retrieval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Intent Classification: </w:t>
      </w:r>
      <w:r>
        <w:rPr>
          <w:rFonts w:ascii="Arial" w:hAnsi="Arial"/>
          <w:color w:val="334155"/>
          <w:sz w:val="20"/>
        </w:rPr>
        <w:t>A fast cosine router classifies operator requests into 7 discrete intents (e.g., Blueprint Query, Code Execution, Control Action).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Ambiguity Detection: </w:t>
      </w:r>
      <w:r>
        <w:rPr>
          <w:rFonts w:ascii="Arial" w:hAnsi="Arial"/>
          <w:color w:val="334155"/>
          <w:sz w:val="20"/>
        </w:rPr>
        <w:t>If an operator query is ambiguous or out of scope, the system halts immediately and asks for clarification.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Configured Retrieval Threshold: </w:t>
      </w:r>
      <w:r>
        <w:rPr>
          <w:rFonts w:ascii="Arial" w:hAnsi="Arial"/>
          <w:color w:val="334155"/>
          <w:sz w:val="20"/>
        </w:rPr>
        <w:t>Uses a configured retrieval threshold to filter weak evidence and abstain when sufficient support is unavailable.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Multi-Step Reasoning: </w:t>
      </w:r>
      <w:r>
        <w:rPr>
          <w:rFonts w:ascii="Arial" w:hAnsi="Arial"/>
          <w:color w:val="334155"/>
          <w:sz w:val="20"/>
        </w:rPr>
        <w:t>Qwen-2.5-Coder-7B synthesizes an execution plan referencing exact manual citations (e.g., [Manual | Page 42]).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3"/>
        </w:rPr>
        <w:t>Stage 4: ALERT: Threshold Detection &amp; Out-of-Bounds Warning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Operating Limit Check: </w:t>
      </w:r>
      <w:r>
        <w:rPr>
          <w:rFonts w:ascii="Arial" w:hAnsi="Arial"/>
          <w:color w:val="334155"/>
          <w:sz w:val="20"/>
        </w:rPr>
        <w:t>Compares inferred or calculated pressures against Maximum Allowable Working Pressure (MAWP) defined in plant specs.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Visual Console Warnings: </w:t>
      </w:r>
      <w:r>
        <w:rPr>
          <w:rFonts w:ascii="Arial" w:hAnsi="Arial"/>
          <w:color w:val="334155"/>
          <w:sz w:val="20"/>
        </w:rPr>
        <w:t>Displays high-contrast alert badges in the operator console if a reading indicates potential equipment overpressure.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Air-Gapped Loopback Mailer: </w:t>
      </w:r>
      <w:r>
        <w:rPr>
          <w:rFonts w:ascii="Arial" w:hAnsi="Arial"/>
          <w:color w:val="334155"/>
          <w:sz w:val="20"/>
        </w:rPr>
        <w:t>Dispatches instantaneous email alerts to shift supervisor inboxes via a local Python SMTP service (port 1025).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Pre-Execution Hold: </w:t>
      </w:r>
      <w:r>
        <w:rPr>
          <w:rFonts w:ascii="Arial" w:hAnsi="Arial"/>
          <w:color w:val="334155"/>
          <w:sz w:val="20"/>
        </w:rPr>
        <w:t>Prevents operators from proceeding until safety warnings are formally acknowledged.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3"/>
        </w:rPr>
        <w:t>Stage 5: VERIFY: Sandboxed ASME Math &amp; Self-Healing Retry Loop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Deterministic Code Generation: </w:t>
      </w:r>
      <w:r>
        <w:rPr>
          <w:rFonts w:ascii="Arial" w:hAnsi="Arial"/>
          <w:color w:val="334155"/>
          <w:sz w:val="20"/>
        </w:rPr>
        <w:t>The model does NOT guess calculations; it writes a self-contained Python script implementing exact ASME formulas.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Isolated Docker Execution: </w:t>
      </w:r>
      <w:r>
        <w:rPr>
          <w:rFonts w:ascii="Arial" w:hAnsi="Arial"/>
          <w:color w:val="334155"/>
          <w:sz w:val="20"/>
        </w:rPr>
        <w:t>The script runs inside a secured container with no network access (`--net=none`), read-only root, and 512MB RAM limit.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Tolerance Validation: </w:t>
      </w:r>
      <w:r>
        <w:rPr>
          <w:rFonts w:ascii="Arial" w:hAnsi="Arial"/>
          <w:color w:val="334155"/>
          <w:sz w:val="20"/>
        </w:rPr>
        <w:t>Calculated pressure drop and wall thickness values are checked against material yield strengths and design margins.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Automated Math Retry Loop: </w:t>
      </w:r>
      <w:r>
        <w:rPr>
          <w:rFonts w:ascii="Arial" w:hAnsi="Arial"/>
          <w:color w:val="334155"/>
          <w:sz w:val="20"/>
        </w:rPr>
        <w:t>If a script produces a traceback or syntax error, the system self-heals by analyzing stderr and re-synthesizing the code.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3"/>
        </w:rPr>
        <w:t>Stage 6: ACT: The Four-Eyes Principle (Human-in-the-Loop Safety Gate)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Autonomous Actuation Prohibited: </w:t>
      </w:r>
      <w:r>
        <w:rPr>
          <w:rFonts w:ascii="Arial" w:hAnsi="Arial"/>
          <w:color w:val="334155"/>
          <w:sz w:val="20"/>
        </w:rPr>
        <w:t>The AI is physically incapable of turning valves or tripping pumps directly.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Dual Supervisor Permitting: </w:t>
      </w:r>
      <w:r>
        <w:rPr>
          <w:rFonts w:ascii="Arial" w:hAnsi="Arial"/>
          <w:color w:val="334155"/>
          <w:sz w:val="20"/>
        </w:rPr>
        <w:t>High-consequence actions generate a formal work permit requiring sign-off from TWO independent shift supervisors.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Cryptographic ECDSA Signatures: </w:t>
      </w:r>
      <w:r>
        <w:rPr>
          <w:rFonts w:ascii="Arial" w:hAnsi="Arial"/>
          <w:color w:val="334155"/>
          <w:sz w:val="20"/>
        </w:rPr>
        <w:t>Supervisors sign the authorization using hardware-bound cryptographic keys (W3C WebCrypto P-256).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Controlled Release: </w:t>
      </w:r>
      <w:r>
        <w:rPr>
          <w:rFonts w:ascii="Arial" w:hAnsi="Arial"/>
          <w:color w:val="334155"/>
          <w:sz w:val="20"/>
        </w:rPr>
        <w:t>Only after both signatures match does the system output the verified permit for execution.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3"/>
        </w:rPr>
        <w:t>Stage 7: LEARN: Local Context Retention &amp; Session Continuity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Shift Handover Context: </w:t>
      </w:r>
      <w:r>
        <w:rPr>
          <w:rFonts w:ascii="Arial" w:hAnsi="Arial"/>
          <w:color w:val="334155"/>
          <w:sz w:val="20"/>
        </w:rPr>
        <w:t>Maintains multi-turn context across consecutive operational shifts in a local SQLite session cache.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Operator Feedback Capture: </w:t>
      </w:r>
      <w:r>
        <w:rPr>
          <w:rFonts w:ascii="Arial" w:hAnsi="Arial"/>
          <w:color w:val="334155"/>
          <w:sz w:val="20"/>
        </w:rPr>
        <w:t>Logs operator corrections and verified parameters into local memory without altering base model weights.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Replay Resistance: </w:t>
      </w:r>
      <w:r>
        <w:rPr>
          <w:rFonts w:ascii="Arial" w:hAnsi="Arial"/>
          <w:color w:val="334155"/>
          <w:sz w:val="20"/>
        </w:rPr>
        <w:t>Applies a 15-minute time-to-live (TTL) and atomic nonces to ensure authorization requests cannot be replayed.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Zero Cloud Leaks: </w:t>
      </w:r>
      <w:r>
        <w:rPr>
          <w:rFonts w:ascii="Arial" w:hAnsi="Arial"/>
          <w:color w:val="334155"/>
          <w:sz w:val="20"/>
        </w:rPr>
        <w:t>Context retention is confined to the local workstation; zero data is transmitted to foundation model vendors.</w:t>
      </w:r>
    </w:p>
    <w:p>
      <w:pPr>
        <w:keepNext/>
        <w:spacing w:before="200" w:after="60"/>
      </w:pPr>
      <w:r>
        <w:rPr>
          <w:rFonts w:ascii="Arial" w:hAnsi="Arial"/>
          <w:b/>
          <w:color w:val="1D4ED8"/>
          <w:sz w:val="23"/>
        </w:rPr>
        <w:t>Stage 8: IMPROVE: Verified Deliverables &amp; Integrity-Checked Audit Logging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Executive Deliverables: </w:t>
      </w:r>
      <w:r>
        <w:rPr>
          <w:rFonts w:ascii="Arial" w:hAnsi="Arial"/>
          <w:color w:val="334155"/>
          <w:sz w:val="20"/>
        </w:rPr>
        <w:t>Generates formatted .docx summary reports, live .xlsx calculation sheets with active formulas, and SHA-256 signed PDFs.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Integrity-Checked Audit Ledger: </w:t>
      </w:r>
      <w:r>
        <w:rPr>
          <w:rFonts w:ascii="Arial" w:hAnsi="Arial"/>
          <w:color w:val="334155"/>
          <w:sz w:val="20"/>
        </w:rPr>
        <w:t>Every user prompt, retrieved citation, synthesized script, and supervisor signature is logged in an append-only SQLite WAL table.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Traceable Audit History: </w:t>
      </w:r>
      <w:r>
        <w:rPr>
          <w:rFonts w:ascii="Arial" w:hAnsi="Arial"/>
          <w:color w:val="334155"/>
          <w:sz w:val="20"/>
        </w:rPr>
        <w:t>Provides a traceable audit history suitable for review and investigation under industrial safety guidelines.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Historical Analysis: </w:t>
      </w:r>
      <w:r>
        <w:rPr>
          <w:rFonts w:ascii="Arial" w:hAnsi="Arial"/>
          <w:color w:val="334155"/>
          <w:sz w:val="20"/>
        </w:rPr>
        <w:t>Supports faster recurring maintenance analysis by preserving verified historical context.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748B"/>
        <w:sz w:val="16"/>
      </w:rPr>
      <w:t>CONFIDENTIAL &amp; SOVEREIGN  |  SOVEREIGN ON-PREMISE SYSTEM — ZERO PUBLIC-CLOUD EGRESS DURING OPERATION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Project CogniShift  |  DETAILED PROJECT WORKFLOW  |  SIH26117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