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D4ED8"/>
          <w:sz w:val="18"/>
        </w:rPr>
        <w:t>SMART INDIA HACKATHON 2026  |  TEAM 087 (DEN OF DEVS)  |  PS: SIH26117</w:t>
      </w:r>
    </w:p>
    <w:p>
      <w:pPr>
        <w:spacing w:after="80"/>
      </w:pPr>
      <w:r>
        <w:rPr>
          <w:rFonts w:ascii="Arial" w:hAnsi="Arial"/>
          <w:b/>
          <w:color w:val="0F172A"/>
          <w:sz w:val="44"/>
        </w:rPr>
        <w:t>PROJECT ABSTRACT</w:t>
      </w:r>
    </w:p>
    <w:p>
      <w:pPr>
        <w:spacing w:after="240"/>
      </w:pPr>
      <w:r>
        <w:rPr>
          <w:rFonts w:ascii="Arial" w:hAnsi="Arial"/>
          <w:i/>
          <w:color w:val="64748B"/>
          <w:sz w:val="22"/>
        </w:rPr>
        <w:t>Project CogniShift: Sovereign On-Premise Agentic AI Workbench for Confidential Industrial Work</w:t>
      </w:r>
    </w:p>
    <w:p>
      <w:pPr>
        <w:spacing w:after="240"/>
        <w:pBdr>
          <w:bottom w:val="single" w:sz="12" w:space="1" w:color="0F172A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1. Executive Summary</w:t>
      </w:r>
    </w:p>
    <w:p>
      <w:pPr>
        <w:spacing w:after="100" w:line="276" w:lineRule="auto"/>
      </w:pPr>
      <w:r>
        <w:rPr>
          <w:rFonts w:ascii="Arial" w:hAnsi="Arial"/>
          <w:color w:val="334155"/>
          <w:sz w:val="20"/>
        </w:rPr>
        <w:t>Project CogniShift is an on-premise, sovereign artificial intelligence workbench engineered specifically for confidential and safety-critical industrial operations—such as petroleum refineries, chemical processing plants, and heavy utilities. While commercial cloud AI services offer rapid prototyping, industrial operators are constrained by strict data-handling boundaries. Uploading confidential engineering information to third-party cloud services can conflict with organizational confidentiality, cybersecurity, and data-governance requirements.</w:t>
      </w:r>
    </w:p>
    <w:p>
      <w:pPr>
        <w:spacing w:after="100" w:line="276" w:lineRule="auto"/>
      </w:pPr>
      <w:r>
        <w:rPr>
          <w:rFonts w:ascii="Arial" w:hAnsi="Arial"/>
          <w:color w:val="334155"/>
          <w:sz w:val="20"/>
        </w:rPr>
        <w:t>CogniShift addresses this operational challenge by deploying local open-weight AI models directly within the plant perimeter. The system operates on local hardware with zero external internet dependencies during active execution. Control-room operators can interact with complex operating manuals in natural language, extract technical parameters from scanned P&amp;IDs and analog dials, execute engineering calculations deterministically within an isolated container sandbox, and enforce human-in-the-loop dual-supervisor authorization before any actionable maintenance permit is synthesized.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rFonts w:ascii="Arial" w:hAnsi="Arial"/>
                <w:b/>
                <w:color w:val="1D4ED8"/>
                <w:sz w:val="20"/>
              </w:rPr>
              <w:t>Core Value Proposition</w:t>
              <w:br/>
            </w:r>
            <w:r>
              <w:rPr>
                <w:rFonts w:ascii="Arial" w:hAnsi="Arial"/>
                <w:color w:val="334155"/>
                <w:sz w:val="19"/>
              </w:rPr>
              <w:t>Local operational sovereignty: confidential plant engineering documents, telemetry, and operating procedures remain strictly within facility boundaries. Calculations are executed deterministically and validated against defined engineering constraints, reducing reliance on unverified model arithmetic.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2. Industrial Problem &amp; Operational Constraints</w:t>
      </w:r>
    </w:p>
    <w:p>
      <w:pPr>
        <w:spacing w:after="100" w:line="276" w:lineRule="auto"/>
      </w:pPr>
      <w:r>
        <w:rPr>
          <w:rFonts w:ascii="Arial" w:hAnsi="Arial"/>
          <w:color w:val="334155"/>
          <w:sz w:val="20"/>
        </w:rPr>
        <w:t>Heavy industries and safety-critical manufacturing facilities operate under four fundamental constraints: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1. Purdue Level 3/3.5 Network Segmentation: </w:t>
      </w:r>
      <w:r>
        <w:rPr>
          <w:rFonts w:ascii="Arial" w:hAnsi="Arial"/>
          <w:color w:val="334155"/>
          <w:sz w:val="20"/>
        </w:rPr>
        <w:t>Industrial control environments isolate operational networks from public corporate WANs to safeguard physical infrastructure. Software must operate locally without persistent external connectivity.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2. Protection of Confidential Engineering IP: </w:t>
      </w:r>
      <w:r>
        <w:rPr>
          <w:rFonts w:ascii="Arial" w:hAnsi="Arial"/>
          <w:color w:val="334155"/>
          <w:sz w:val="20"/>
        </w:rPr>
        <w:t>Piping and Instrumentation Diagrams (P&amp;IDs), valve schedules, and process yield models constitute highly sensitive trade secrets. Local processing ensures this data is not exposed to external servers.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3. Requirement of Deterministic Engineering Accuracy: </w:t>
      </w:r>
      <w:r>
        <w:rPr>
          <w:rFonts w:ascii="Arial" w:hAnsi="Arial"/>
          <w:color w:val="334155"/>
          <w:sz w:val="20"/>
        </w:rPr>
        <w:t>Generative language models can introduce hallucinations or numerical inaccuracies when performing mental arithmetic. In safety-critical systems, calculations must be synthesized into code and executed within controlled sandboxes against defined constraints.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4. Statutory Governance &amp; Auditability: </w:t>
      </w:r>
      <w:r>
        <w:rPr>
          <w:rFonts w:ascii="Arial" w:hAnsi="Arial"/>
          <w:color w:val="334155"/>
          <w:sz w:val="20"/>
        </w:rPr>
        <w:t>DPDP and industrial governance requirements motivate strong controls around sensitive data processing, access, and auditability across all engineering operations.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3. System Architecture &amp; Core Capabilities</w:t>
      </w:r>
    </w:p>
    <w:p>
      <w:pPr>
        <w:spacing w:after="100" w:line="276" w:lineRule="auto"/>
      </w:pPr>
      <w:r>
        <w:rPr>
          <w:rFonts w:ascii="Arial" w:hAnsi="Arial"/>
          <w:color w:val="334155"/>
          <w:sz w:val="20"/>
        </w:rPr>
        <w:t>CogniShift establishes a modular, five-tier sovereign architecture balancing agentic assistance with deterministic safety gates: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Functional Tier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Technology Used</w:t>
            </w:r>
          </w:p>
        </w:tc>
        <w:tc>
          <w:tcPr>
            <w:tcW w:type="dxa" w:w="403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Operational Role in Plant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1. Visual Blueprint Ingestion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Qwen-2.5-VL-7B &amp; Classical OCR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Extracts instrument tag numbers from blueprints and reads pointer angles on analog dial gauges.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2. Grounded Technical Retrieval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ChromaDB &amp; FastEmbed (CPU)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Indexes 500+ page SOP manuals with calibrated similarity thresholds to improve evidence grounding and reduce unsupported responses.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3. Sandboxed Formula Execution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Docker Container (--net=none)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Executes calculations deterministically and validates them against defined engineering constraints (e.g. ASME Section VIII).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4. Four-Eyes Approval Gate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ECDSA Cryptographic Sign-Off</w:t>
            </w:r>
          </w:p>
        </w:tc>
        <w:tc>
          <w:tcPr>
            <w:tcW w:type="dxa" w:w="403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Enforces human dual authorization; halts high-consequence execution until two independent supervisors approve.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5. Auditable Local Ledger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SQLite WAL &amp; Local Mailer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color w:val="334155"/>
                <w:sz w:val="18"/>
              </w:rPr>
              <w:t>Auditable local ledger with integrity controls and traceable approval history suitable for review and investigation.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4. Deployment Feasibility &amp; Hardware Footprint</w:t>
      </w:r>
    </w:p>
    <w:p>
      <w:pPr>
        <w:spacing w:after="100" w:line="276" w:lineRule="auto"/>
      </w:pPr>
      <w:r>
        <w:rPr>
          <w:rFonts w:ascii="Arial" w:hAnsi="Arial"/>
          <w:color w:val="334155"/>
          <w:sz w:val="20"/>
        </w:rPr>
        <w:t>CogniShift is engineered to operate on standard commercial edge workstation hardware: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Processor: </w:t>
      </w:r>
      <w:r>
        <w:rPr>
          <w:rFonts w:ascii="Arial" w:hAnsi="Arial"/>
          <w:color w:val="334155"/>
          <w:sz w:val="20"/>
        </w:rPr>
        <w:t>Standard 8-core CPU (e.g., Intel Core i7 12th Gen or AMD Ryzen 7).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Memory: </w:t>
      </w:r>
      <w:r>
        <w:rPr>
          <w:rFonts w:ascii="Arial" w:hAnsi="Arial"/>
          <w:color w:val="334155"/>
          <w:sz w:val="20"/>
        </w:rPr>
        <w:t>16 GB to 32 GB of system RAM.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Graphics Card: </w:t>
      </w:r>
      <w:r>
        <w:rPr>
          <w:rFonts w:ascii="Arial" w:hAnsi="Arial"/>
          <w:color w:val="334155"/>
          <w:sz w:val="20"/>
        </w:rPr>
        <w:t>Single 12 GB-class GPU (e.g., NVIDIA RTX 3060 12GB or RTX 4080 16GB) under configured quantization/resource limits.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Scalability &amp; Concurrency: </w:t>
      </w:r>
      <w:r>
        <w:rPr>
          <w:rFonts w:ascii="Arial" w:hAnsi="Arial"/>
          <w:color w:val="334155"/>
          <w:sz w:val="20"/>
        </w:rPr>
        <w:t>Continuous-batched inference enables concurrent users on a single GPU, with horizontal inference-worker scale-out for larger deployments.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Operating System: </w:t>
      </w:r>
      <w:r>
        <w:rPr>
          <w:rFonts w:ascii="Arial" w:hAnsi="Arial"/>
          <w:color w:val="334155"/>
          <w:sz w:val="20"/>
        </w:rPr>
        <w:t>Standard 64-bit Linux (Ubuntu / Rocky Linux) or Windows 10/11 Enterprise.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20"/>
        </w:rPr>
        <w:t xml:space="preserve">Network Footprint: </w:t>
      </w:r>
      <w:r>
        <w:rPr>
          <w:rFonts w:ascii="Arial" w:hAnsi="Arial"/>
          <w:color w:val="334155"/>
          <w:sz w:val="20"/>
        </w:rPr>
        <w:t>Zero public-cloud egress during operation. Operates over the local plant LAN (Purdue Level 3).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8"/>
        </w:rPr>
        <w:t>5. Conclusion</w:t>
      </w:r>
    </w:p>
    <w:p>
      <w:pPr>
        <w:spacing w:after="100" w:line="276" w:lineRule="auto"/>
      </w:pPr>
      <w:r>
        <w:rPr>
          <w:rFonts w:ascii="Arial" w:hAnsi="Arial"/>
          <w:color w:val="334155"/>
          <w:sz w:val="20"/>
        </w:rPr>
        <w:t>Project CogniShift demonstrates that high-hazard industrial environments can safely adopt generative and agentic AI without compromising confidentiality, sovereignty, or regulatory alignment. By combining local open-weight models, deterministic calculation verification, and cryptographic human authorization, CogniShift provides a solution that is practical and deployment-oriented for controlled on-premise industrial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748B"/>
        <w:sz w:val="16"/>
      </w:rPr>
      <w:t>CONFIDENTIAL &amp; SOVEREIGN  |  SOVEREIGN ON-PREMISE SYSTEM — ZERO PUBLIC-CLOUD EGRESS DURING OPERATION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Project CogniShift  |  PROJECT ABSTRACT  |  SIH26117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