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D4ED8"/>
          <w:sz w:val="18"/>
        </w:rPr>
        <w:t>SMART INDIA HACKATHON 2026  |  TEAM 087 (DEN OF DEVS)  |  PS: SIH26117</w:t>
      </w:r>
    </w:p>
    <w:p>
      <w:pPr>
        <w:spacing w:after="80"/>
      </w:pPr>
      <w:r>
        <w:rPr>
          <w:rFonts w:ascii="Arial" w:hAnsi="Arial"/>
          <w:b/>
          <w:color w:val="0F172A"/>
          <w:sz w:val="44"/>
        </w:rPr>
        <w:t>DETAILED TECH STACK</w:t>
      </w:r>
    </w:p>
    <w:p>
      <w:pPr>
        <w:spacing w:after="240"/>
      </w:pPr>
      <w:r>
        <w:rPr>
          <w:rFonts w:ascii="Arial" w:hAnsi="Arial"/>
          <w:i/>
          <w:color w:val="64748B"/>
          <w:sz w:val="22"/>
        </w:rPr>
        <w:t>Comprehensive Architectural Breakdown of Technologies, Libraries, and Runtimes</w:t>
      </w:r>
    </w:p>
    <w:p>
      <w:pPr>
        <w:spacing w:after="240"/>
        <w:pBdr>
          <w:bottom w:val="single" w:sz="12" w:space="1" w:color="0F172A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Architecture Philosophy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CogniShift is designed around four strict engineering principles:</w:t>
        <w:br/>
        <w:t>1. Zero Public-Cloud Egress: The application runs locally without external cloud dependencies during operation.</w:t>
        <w:br/>
        <w:t>2. Deterministic Verification: AI models synthesize code; an isolated sandbox executes the code and verifies mathematical tolerances.</w:t>
        <w:br/>
        <w:t>3. Local Open-Weight Models: Neural weights run locally on consumer/workstation GPUs without proprietary per-token cloud APIs.</w:t>
        <w:br/>
        <w:t>4. Standard Commercial Hardware: Runs on a single standard workstation PC (NVIDIA RTX 3060/4080 class) with bounded resource consumption.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Full Layer-by-Layer Technology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System Layer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 Component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/ Model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Function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User Interface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React 19 &amp; TypeScript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v19.0.0 / v5.3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Ultra-fast single-page web console; zero external CDN dependencies.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UI Styling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Tailwind CSS &amp; Lucide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v3.4 / v0.3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Industrial dark-mode operator console optimized for control-room monitors.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Session Auth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W3C WebCrypto API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Native Browser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Hardware-bound ECDSA P-256 session token generation and signing.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API Gateway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FastAPI &amp; Uvicorn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v0.115 / v0.34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High-performance asynchronous REST and Server-Sent Events (SSE) gateway.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Database Engine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SQLite 3 with WAL Mode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v3.45 / aiosqlite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Zero-maintenance local transaction ledger with WAL concurrency.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Model Serving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Ollama / vLLM-Compatible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Local Serving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Ollama for current local serving; vLLM-compatible serving architecture for continuous-batched, higher-concurrency deployment.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Primary Reasoning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Qwen-2.5-Coder-7B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AWQ 4-bit Quant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Natural language understanding, multi-step planning, and ASME Python script synthesis.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Multimodal Vision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Qwen-2.5-VL-7B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4-bit Quant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Visual P&amp;ID blueprint analysis, instrument tag extraction, and dial gauge reading.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Text Embeddings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FastEmbed (bge-small)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v0.4 (ONNX CPU)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Local CPU embeddings with low-latency inference and no GPU requirement (0 MB VRAM).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Vector Store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ChromaDB (Local)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v0.5.23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Persistent on-disk vector database indexing technical SOP manuals.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Execution Sandbox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34155"/>
                <w:sz w:val="17"/>
              </w:rPr>
              <w:t>Docker Engine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v26.0+ (--net=none)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Isolated, ephemeral container executing Python ASME calculations safely.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Component Deep Dive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A. Local AI Model Optimization &amp; Serving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CogniShift uses Ollama for current local serving, designed with a vLLM-compatible architecture for continuous-batched, higher-concurrency deployments. 4-bit quantization reduces memory footprint significantly while preserving reasoning ability. Continuous-batched inference enables concurrent users on a single GPU, with horizontal inference-worker scale-out for larger deployments. Quantized models are selected and scheduled according to available VRAM; bounded concurrency prevents uncontrolled GPU memory exhaustion.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B. FastEmbed &amp; ONNX Runtime (CPU Offload)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To preserve GPU VRAM strictly for generative reasoning, document vectorization is offloaded entirely to the CPU. Using FastEmbed with the `BAAI/bge-small-en-v1.5` model compiled for ONNX Runtime, CogniShift generates local CPU embeddings with low-latency inference and no GPU requirement using lightweight CPU SIMD instructions (AVX-512/AVX2). This enables responsive document search while keeping GPU memory clear for language and vision models.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C. Isolated Docker Sandbox Container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Security in industrial control systems strictly forbids running arbitrary code on the host operating system. CogniShift executes all generated Python calculations inside a temporary, throw-away Docker container configured with:</w:t>
        <w:br/>
        <w:t>• `--net=none`: Complete network isolation (no loopback, no outbound network interfaces).</w:t>
        <w:br/>
        <w:t>• `--read-only`: Read-only root filesystem prevents writing persistence scripts.</w:t>
        <w:br/>
        <w:t>• `--memory=512m --cpus=1.0`: Strict cgroup resource quotas prevent memory leaks or CPU starvation.</w:t>
        <w:br/>
        <w:t>• `timeout 30`: Hard execution deadline terminates any accidental infinite loops.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D. Write-Ahead Logging (WAL) SQLite Ledger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The backend database uses SQLite configured in WAL (Write-Ahead Logging) mode with `PRAGMA synchronous = NORMAL`. SQLite WAL supports concurrent reads and improves local transaction resilience; production-scale deployments can migrate to a server-grade database (such as PostgreSQL) as scale demands.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6"/>
      </w:rPr>
      <w:t>CONFIDENTIAL &amp; SOVEREIGN  |  SOVEREIGN ON-PREMISE SYSTEM — ZERO PUBLIC-CLOUD EGRESS DURING OPERATION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Project CogniShift  |  DETAILED TECH STACK  |  SIH26117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