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8463F"/>
          <w:sz w:val="68"/>
        </w:rPr>
        <w:t>MİZAN</w:t>
      </w:r>
    </w:p>
    <w:p>
      <w:pPr>
        <w:jc w:val="center"/>
      </w:pPr>
      <w:r>
        <w:rPr>
          <w:rFonts w:ascii="Aptos" w:hAnsi="Aptos"/>
          <w:color w:val="8FA894"/>
          <w:sz w:val="32"/>
        </w:rPr>
        <w:t>Raporlama Güvence ve Orkestrasyon Platformu</w:t>
      </w:r>
    </w:p>
    <w:p>
      <w:pPr>
        <w:jc w:val="center"/>
      </w:pPr>
      <w:r>
        <w:rPr>
          <w:i/>
          <w:color w:val="5E6A66"/>
          <w:sz w:val="22"/>
        </w:rPr>
        <w:t>Kapsamlı ürün, düzenleme araştırması ve uygulama yol haritası</w:t>
      </w:r>
    </w:p>
    <w:p>
      <w:pPr>
        <w:jc w:val="center"/>
      </w:pPr>
      <w:r>
        <w:rPr>
          <w:color w:val="5E6A66"/>
          <w:sz w:val="18"/>
        </w:rPr>
        <w:t>15 Ekim 2026 | Türkiye + Avrupa Birliği</w:t>
      </w:r>
    </w:p>
    <w:p/>
    <w:p>
      <w:pPr>
        <w:pStyle w:val="Heading1"/>
      </w:pPr>
      <w:r>
        <w:rPr>
          <w:rFonts w:ascii="Aptos Display" w:hAnsi="Aptos Display"/>
          <w:color w:val="28463F"/>
        </w:rPr>
        <w:t>Yönetici Özeti</w:t>
      </w:r>
    </w:p>
    <w:p>
      <w:pPr>
        <w:spacing w:after="120"/>
      </w:pPr>
      <w:r>
        <w:rPr>
          <w:rFonts w:ascii="Aptos" w:hAnsi="Aptos"/>
          <w:sz w:val="20"/>
        </w:rPr>
        <w:t>MİZAN; sürdürülebilirlik danışmanlıklarının ve raporlama ajanslarının faaliyet raporu, sürdürülebilirlik raporu ve CBAM hazırlık süreçlerini standartlar, hesaplamalar, kanıtlar, onaylar ve Word teslimi üzerinden yönetmesini sağlayan multi-tenant platformdur.</w:t>
      </w:r>
    </w:p>
    <w:p>
      <w:pPr>
        <w:spacing w:after="120"/>
      </w:pPr>
      <w:r>
        <w:rPr>
          <w:rFonts w:ascii="Aptos" w:hAnsi="Aptos"/>
          <w:sz w:val="20"/>
        </w:rPr>
        <w:t>Platform PDF tasarımı üretmez. Onaylı ve kaynaklı içerik, veri tablosu, grafik veri seti, metodoloji notu ve açık konu listesi içeren tasarıma hazır Word paketi üretir. Basılı/dijital yıllık rapor tasarımı ajansın uzmanlık alanı olarak kalır.</w:t>
      </w:r>
    </w:p>
    <w:p>
      <w:pPr>
        <w:spacing w:after="120"/>
      </w:pPr>
      <w:r>
        <w:rPr>
          <w:rFonts w:ascii="Aptos" w:hAnsi="Aptos"/>
          <w:sz w:val="20"/>
        </w:rPr>
        <w:t>Ürün “tam uyum sertifikası” vermez. Hedef; resmi kaynağa bağlı, sürümlü standart paketleri ve insan onayı ile compliance-ready bir raporlama süreci oluşturmaktır.</w:t>
      </w:r>
    </w:p>
    <w:p>
      <w:pPr>
        <w:pStyle w:val="Heading1"/>
      </w:pPr>
      <w:r>
        <w:rPr>
          <w:rFonts w:ascii="Aptos Display" w:hAnsi="Aptos Display"/>
          <w:color w:val="28463F"/>
        </w:rPr>
        <w:t>1. Stratejik Fark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Bugünkü sorun</w:t>
            </w:r>
          </w:p>
        </w:tc>
        <w:tc>
          <w:tcPr>
            <w:tcW w:type="dxa" w:w="6192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MİZAN yaklaşımı</w:t>
            </w:r>
          </w:p>
        </w:tc>
      </w:tr>
      <w:tr>
        <w:tc>
          <w:tcPr>
            <w:tcW w:type="dxa" w:w="388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Dağınık Excel, e-posta ve PDF akışı</w:t>
            </w:r>
          </w:p>
        </w:tc>
        <w:tc>
          <w:tcPr>
            <w:tcW w:type="dxa" w:w="6192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Veri–kanıt–owner–onay tek workspace içinde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Faaliyet/sürdürülebilirlik/CBAM verileri arasında çelişki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Rapor Relationship Map ile raporlar arası tutarlılık kontrolü</w:t>
            </w:r>
          </w:p>
        </w:tc>
      </w:tr>
      <w:tr>
        <w:tc>
          <w:tcPr>
            <w:tcW w:type="dxa" w:w="388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Standartlar insan hafızasında veya statik checklistte</w:t>
            </w:r>
          </w:p>
        </w:tc>
        <w:tc>
          <w:tcPr>
            <w:tcW w:type="dxa" w:w="6192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Sürümü, yürürlüğü ve kaynağı kayıtlı Standart Paketleri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Tasarım aşamasında devam eden veri revizyonları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Word Report Compiler ile onaylı, yapılandırılmış handoff</w:t>
            </w:r>
          </w:p>
        </w:tc>
      </w:tr>
      <w:tr>
        <w:tc>
          <w:tcPr>
            <w:tcW w:type="dxa" w:w="388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Statik ve sıkıcı KPI tablosu</w:t>
            </w:r>
          </w:p>
        </w:tc>
        <w:tc>
          <w:tcPr>
            <w:tcW w:type="dxa" w:w="6192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Kaynaktan beslenen, kapsamı görünür interaktif KPI Studio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8463F"/>
        </w:rPr>
        <w:t>2. Kapsam: Üç raporlama hattı, tek kanıt omurgası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Hat</w:t>
            </w:r>
          </w:p>
        </w:tc>
        <w:tc>
          <w:tcPr>
            <w:tcW w:type="dxa" w:w="3384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Amaç</w:t>
            </w:r>
          </w:p>
        </w:tc>
        <w:tc>
          <w:tcPr>
            <w:tcW w:type="dxa" w:w="4752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Ortak ama farklı yönetilmesi gereken alanlar</w:t>
            </w:r>
          </w:p>
        </w:tc>
      </w:tr>
      <w:tr>
        <w:tc>
          <w:tcPr>
            <w:tcW w:type="dxa" w:w="1944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Faaliyet Raporu</w:t>
            </w:r>
          </w:p>
        </w:tc>
        <w:tc>
          <w:tcPr>
            <w:tcW w:type="dxa" w:w="3384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Şirketin faaliyet, finansal durum, risk, yönetişim ve gelişimini raporlamak</w:t>
            </w:r>
          </w:p>
        </w:tc>
        <w:tc>
          <w:tcPr>
            <w:tcW w:type="dxa" w:w="4752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Şirket profili, faaliyetler, yönetim, çalışanlar, finansal veriler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Sürdürülebilirlik Raporu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TSRS/GRI/ESRS vb. çerçevelerde risk, fırsat, etki, metrik ve hedefleri açıklamak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Yönetişim, iklim, insan, değer zinciri, politikalar, hedefler</w:t>
            </w:r>
          </w:p>
        </w:tc>
      </w:tr>
      <w:tr>
        <w:tc>
          <w:tcPr>
            <w:tcW w:type="dxa" w:w="1944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CBAM Hazırlığı</w:t>
            </w:r>
          </w:p>
        </w:tc>
        <w:tc>
          <w:tcPr>
            <w:tcW w:type="dxa" w:w="3384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Ürün/tesis/enerji/emisyon verisini beyan ve doğrulama öncesi tutarlı hale getirmek</w:t>
            </w:r>
          </w:p>
        </w:tc>
        <w:tc>
          <w:tcPr>
            <w:tcW w:type="dxa" w:w="4752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Ürün, tesis, üretim, enerji, tahsis, emisyon, kanıt</w:t>
            </w:r>
          </w:p>
        </w:tc>
      </w:tr>
    </w:tbl>
    <w:p/>
    <w:p>
      <w:pPr>
        <w:spacing w:after="120"/>
      </w:pPr>
      <w:r>
        <w:rPr>
          <w:rFonts w:ascii="Aptos" w:hAnsi="Aptos"/>
          <w:sz w:val="20"/>
        </w:rPr>
        <w:t>Kritik tasarım ilkesi: Ortak veri yeniden kullanılabilir; ancak dönem, organizasyon sınırı, metrik tanımı ve metodoloji farklıysa sistem bunu otomatik eşdeğer kabul etmez, farkın açıklanmasını ister.</w:t>
      </w:r>
    </w:p>
    <w:p>
      <w:pPr>
        <w:pStyle w:val="Heading1"/>
      </w:pPr>
      <w:r>
        <w:rPr>
          <w:rFonts w:ascii="Aptos Display" w:hAnsi="Aptos Display"/>
          <w:color w:val="28463F"/>
        </w:rPr>
        <w:t>3. Düzenleme Araştırma Fazı</w:t>
      </w:r>
    </w:p>
    <w:p>
      <w:pPr>
        <w:spacing w:after="120"/>
      </w:pPr>
      <w:r>
        <w:rPr>
          <w:rFonts w:ascii="Aptos" w:hAnsi="Aptos"/>
          <w:sz w:val="20"/>
        </w:rPr>
        <w:t>Araştırma fazı yazılımdan önce başlar ve ürün yaşam döngüsü boyunca devam eder. Amaç, modelin “bildiğini varsaymak” değil; resmi kaynağa bağlı bir Regulatory Intelligence Layer kurmaktır.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İş paketi</w:t>
            </w:r>
          </w:p>
        </w:tc>
        <w:tc>
          <w:tcPr>
            <w:tcW w:type="dxa" w:w="5400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Teslimat</w:t>
            </w:r>
          </w:p>
        </w:tc>
        <w:tc>
          <w:tcPr>
            <w:tcW w:type="dxa" w:w="2448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Sahip</w:t>
            </w:r>
          </w:p>
        </w:tc>
      </w:tr>
      <w:tr>
        <w:tc>
          <w:tcPr>
            <w:tcW w:type="dxa" w:w="2232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AB yıllık/management report</w:t>
            </w:r>
          </w:p>
        </w:tc>
        <w:tc>
          <w:tcPr>
            <w:tcW w:type="dxa" w:w="540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Accounting Directive, Transparency/ESEF ve seçilmiş üye devlet karar ağacı</w:t>
            </w:r>
          </w:p>
        </w:tc>
        <w:tc>
          <w:tcPr>
            <w:tcW w:type="dxa" w:w="244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AB raporlama + hukuk uzmanı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AB sürdürülebilirlik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7"/>
              </w:rPr>
              <w:t>CSRD/ESRS/Omnibus/VSME/Taxonomy sürüm haritası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ESRS uzmanı</w:t>
            </w:r>
          </w:p>
        </w:tc>
      </w:tr>
      <w:tr>
        <w:tc>
          <w:tcPr>
            <w:tcW w:type="dxa" w:w="2232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Türkiye faaliyet raporu</w:t>
            </w:r>
          </w:p>
        </w:tc>
        <w:tc>
          <w:tcPr>
            <w:tcW w:type="dxa" w:w="540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TTK, asgari içerik yönetmeliği, SPK ve pilot sektör farkları</w:t>
            </w:r>
          </w:p>
        </w:tc>
        <w:tc>
          <w:tcPr>
            <w:tcW w:type="dxa" w:w="244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TR sermaye piyasası/hukuk uzmanı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Türkiye sürdürülebilirlik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7"/>
              </w:rPr>
              <w:t>TSRS 1/2, kapsam, geçiş, GRI eşleme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TSRS/GRI uzmanı</w:t>
            </w:r>
          </w:p>
        </w:tc>
      </w:tr>
      <w:tr>
        <w:tc>
          <w:tcPr>
            <w:tcW w:type="dxa" w:w="2232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CBAM</w:t>
            </w:r>
          </w:p>
        </w:tc>
        <w:tc>
          <w:tcPr>
            <w:tcW w:type="dxa" w:w="540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Rol, kanıt, hesaplama/atama, doğrulama öncesi kontroller</w:t>
            </w:r>
          </w:p>
        </w:tc>
        <w:tc>
          <w:tcPr>
            <w:tcW w:type="dxa" w:w="244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CBAM teknik uzmanı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Ürünleştirme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7"/>
              </w:rPr>
              <w:t>Disclosure→data→evidence→rule→Word mapping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Bilgi mimarı + ürün ekibi</w:t>
            </w:r>
          </w:p>
        </w:tc>
      </w:tr>
    </w:tbl>
    <w:p/>
    <w:p>
      <w:pPr>
        <w:spacing w:after="120"/>
      </w:pPr>
      <w:r>
        <w:rPr>
          <w:rFonts w:ascii="Aptos" w:hAnsi="Aptos"/>
          <w:sz w:val="20"/>
        </w:rPr>
        <w:t>Araştırma çıkış kapısı: her otomatik kuralın kaynak URL’si, madde/sürüm kaydı, yürürlük durumu, uygulanabilirlik şartı, uzman sahibi ve son inceleme tarihi bulunmalıdır.</w:t>
      </w:r>
    </w:p>
    <w:p>
      <w:pPr>
        <w:pStyle w:val="Heading1"/>
      </w:pPr>
      <w:r>
        <w:rPr>
          <w:rFonts w:ascii="Aptos Display" w:hAnsi="Aptos Display"/>
          <w:color w:val="28463F"/>
        </w:rPr>
        <w:t>4. Ürün Modülleri</w:t>
      </w:r>
    </w:p>
    <w:p>
      <w:pPr>
        <w:spacing w:after="120"/>
      </w:pPr>
      <w:r>
        <w:rPr>
          <w:rFonts w:ascii="Aptos" w:hAnsi="Aptos"/>
          <w:b/>
          <w:sz w:val="20"/>
        </w:rPr>
        <w:t xml:space="preserve">Reporting Profile &amp; Applicability Engine: </w:t>
      </w:r>
      <w:r>
        <w:rPr>
          <w:rFonts w:ascii="Aptos" w:hAnsi="Aptos"/>
          <w:sz w:val="20"/>
        </w:rPr>
        <w:t>Şirketin ülke, halka açıklık, sektör, büyüklük, grup yapısı, dönem ve hedef pazar bilgisine göre ilgili standart paketlerini önerir; nihai seçim danışman onayıyla yapılır.</w:t>
      </w:r>
    </w:p>
    <w:p>
      <w:pPr>
        <w:spacing w:after="120"/>
      </w:pPr>
      <w:r>
        <w:rPr>
          <w:rFonts w:ascii="Aptos" w:hAnsi="Aptos"/>
          <w:b/>
          <w:sz w:val="20"/>
        </w:rPr>
        <w:t xml:space="preserve">Corporate Master Profile: </w:t>
      </w:r>
      <w:r>
        <w:rPr>
          <w:rFonts w:ascii="Aptos" w:hAnsi="Aptos"/>
          <w:sz w:val="20"/>
        </w:rPr>
        <w:t>Kurumsal tanıtım, faaliyet alanı, tesis, iş modeli, grup yapısı, yönetim, politika ve onaylı anlatı bir kez tutulur; yıllık güncelleme görevleri oluşur.</w:t>
      </w:r>
    </w:p>
    <w:p>
      <w:pPr>
        <w:spacing w:after="120"/>
      </w:pPr>
      <w:r>
        <w:rPr>
          <w:rFonts w:ascii="Aptos" w:hAnsi="Aptos"/>
          <w:b/>
          <w:sz w:val="20"/>
        </w:rPr>
        <w:t xml:space="preserve">Report Blueprint / Index Composer: </w:t>
      </w:r>
      <w:r>
        <w:rPr>
          <w:rFonts w:ascii="Aptos" w:hAnsi="Aptos"/>
          <w:sz w:val="20"/>
        </w:rPr>
        <w:t>Faaliyet ve sürdürülebilirlik raporu için zorunlu, koşullu ve editoryal bölümlerden oluşan yaşayan indeks oluşturur.</w:t>
      </w:r>
    </w:p>
    <w:p>
      <w:pPr>
        <w:spacing w:after="120"/>
      </w:pPr>
      <w:r>
        <w:rPr>
          <w:rFonts w:ascii="Aptos" w:hAnsi="Aptos"/>
          <w:b/>
          <w:sz w:val="20"/>
        </w:rPr>
        <w:t xml:space="preserve">Data &amp; Evidence Room: </w:t>
      </w:r>
      <w:r>
        <w:rPr>
          <w:rFonts w:ascii="Aptos" w:hAnsi="Aptos"/>
          <w:sz w:val="20"/>
        </w:rPr>
        <w:t>Her ölçümü dönem, birim, kapsam, tesis/ürün, metodoloji, kaynak, owner ve onayla saklar.</w:t>
      </w:r>
    </w:p>
    <w:p>
      <w:pPr>
        <w:spacing w:after="120"/>
      </w:pPr>
      <w:r>
        <w:rPr>
          <w:rFonts w:ascii="Aptos" w:hAnsi="Aptos"/>
          <w:b/>
          <w:sz w:val="20"/>
        </w:rPr>
        <w:t xml:space="preserve">Calculation &amp; Quality Engine: </w:t>
      </w:r>
      <w:r>
        <w:rPr>
          <w:rFonts w:ascii="Aptos" w:hAnsi="Aptos"/>
          <w:sz w:val="20"/>
        </w:rPr>
        <w:t>Birim, dönem, toplam, oran, tahsis, kaynak, sürüm ve raporlar arası tutarlılık kontrolü yapar.</w:t>
      </w:r>
    </w:p>
    <w:p>
      <w:pPr>
        <w:spacing w:after="120"/>
      </w:pPr>
      <w:r>
        <w:rPr>
          <w:rFonts w:ascii="Aptos" w:hAnsi="Aptos"/>
          <w:b/>
          <w:sz w:val="20"/>
        </w:rPr>
        <w:t xml:space="preserve">CBAM Evidence &amp; Consistency: </w:t>
      </w:r>
      <w:r>
        <w:rPr>
          <w:rFonts w:ascii="Aptos" w:hAnsi="Aptos"/>
          <w:sz w:val="20"/>
        </w:rPr>
        <w:t>Ürün→tesis→üretim→enerji→emisyon→tahsis→kanıt zincirini ve pre-verification sorun listesini yönetir.</w:t>
      </w:r>
    </w:p>
    <w:p>
      <w:pPr>
        <w:spacing w:after="120"/>
      </w:pPr>
      <w:r>
        <w:rPr>
          <w:rFonts w:ascii="Aptos" w:hAnsi="Aptos"/>
          <w:b/>
          <w:sz w:val="20"/>
        </w:rPr>
        <w:t xml:space="preserve">AI Evidence Assistant: </w:t>
      </w:r>
      <w:r>
        <w:rPr>
          <w:rFonts w:ascii="Aptos" w:hAnsi="Aptos"/>
          <w:sz w:val="20"/>
        </w:rPr>
        <w:t>Claude ve diğer sağlayıcılarla kaynaklı belge analizi, eksik/çelişki tespiti, soru ve metin taslağı üretir.</w:t>
      </w:r>
    </w:p>
    <w:p>
      <w:pPr>
        <w:spacing w:after="120"/>
      </w:pPr>
      <w:r>
        <w:rPr>
          <w:rFonts w:ascii="Aptos" w:hAnsi="Aptos"/>
          <w:b/>
          <w:sz w:val="20"/>
        </w:rPr>
        <w:t xml:space="preserve">Word Report Compiler: </w:t>
      </w:r>
      <w:r>
        <w:rPr>
          <w:rFonts w:ascii="Aptos" w:hAnsi="Aptos"/>
          <w:sz w:val="20"/>
        </w:rPr>
        <w:t>Onaylı metin, tablo, kaynak ID, chart-data ve açık konuları DOCX paketine derler.</w:t>
      </w:r>
    </w:p>
    <w:p>
      <w:pPr>
        <w:spacing w:after="120"/>
      </w:pPr>
      <w:r>
        <w:rPr>
          <w:rFonts w:ascii="Aptos" w:hAnsi="Aptos"/>
          <w:b/>
          <w:sz w:val="20"/>
        </w:rPr>
        <w:t xml:space="preserve">Interactive KPI Studio: </w:t>
      </w:r>
      <w:r>
        <w:rPr>
          <w:rFonts w:ascii="Aptos" w:hAnsi="Aptos"/>
          <w:sz w:val="20"/>
        </w:rPr>
        <w:t>Sadece onaylı veriden beslenen interaktif trend, hedef, karşılaştırma ve akış görselleri üretir.</w:t>
      </w:r>
    </w:p>
    <w:p>
      <w:pPr>
        <w:pStyle w:val="Heading1"/>
      </w:pPr>
      <w:r>
        <w:rPr>
          <w:rFonts w:ascii="Aptos Display" w:hAnsi="Aptos Display"/>
          <w:color w:val="28463F"/>
        </w:rPr>
        <w:t>5. AI ve Güvenlik İlkeleri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Claude varsayılan analiz/narrative sağlayıcısı olabilir; LLM Gateway aracılığıyla OpenAI, Gemini veya kurum içi model de takılabilir.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AI sadece tenant/workspace sınırı içindeki izinli belgelere ve sürümlenmiş standart paketlerine erişir.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AI her yanıtta kaynak göstermek veya “kanıt yetersiz” demek zorundadır.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Hesaplama, birim dönüşümü, sayısal toplama ve uyumluluk sonucu LLM’in değil; test edilmiş kural motoru ve insan gözden geçirmesinin sorumluluğundadır.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Her AI yanıtı için model, sürüm, kaynaklar, prompt şablonu ve insan onay durumu audit trail içinde saklanır.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Yüklenen belgeler güvenilmeyen içeriktir; belge içindeki talimatlar sistem talimatı olarak uygulanmaz.</w:t>
      </w:r>
    </w:p>
    <w:p>
      <w:pPr>
        <w:pStyle w:val="Heading1"/>
      </w:pPr>
      <w:r>
        <w:rPr>
          <w:rFonts w:ascii="Aptos Display" w:hAnsi="Aptos Display"/>
          <w:color w:val="28463F"/>
        </w:rPr>
        <w:t>6. İnteraktif Veri Sunumu</w:t>
      </w:r>
    </w:p>
    <w:p>
      <w:pPr>
        <w:spacing w:after="120"/>
      </w:pPr>
      <w:r>
        <w:rPr>
          <w:rFonts w:ascii="Aptos" w:hAnsi="Aptos"/>
          <w:sz w:val="20"/>
        </w:rPr>
        <w:t>Amaç, kurumsal veriyi dekoratif hale getirmek değil; kullanıcıların doğru veriyi daha kolay anlamasını sağlamaktır. İnteraktif görsel PDF’in alternatifi değildir; raporun dijital katmanıdır.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Görsel</w:t>
            </w:r>
          </w:p>
        </w:tc>
        <w:tc>
          <w:tcPr>
            <w:tcW w:type="dxa" w:w="4032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Örnek kullanım</w:t>
            </w:r>
          </w:p>
        </w:tc>
        <w:tc>
          <w:tcPr>
            <w:tcW w:type="dxa" w:w="3888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Zorunlu güven katmanı</w:t>
            </w:r>
          </w:p>
        </w:tc>
      </w:tr>
      <w:tr>
        <w:tc>
          <w:tcPr>
            <w:tcW w:type="dxa" w:w="216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Trend çizgisi</w:t>
            </w:r>
          </w:p>
        </w:tc>
        <w:tc>
          <w:tcPr>
            <w:tcW w:type="dxa" w:w="4032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Scope 1–2 emisyonu, enerji yoğunluğu, kadın yönetici oranı</w:t>
            </w:r>
          </w:p>
        </w:tc>
        <w:tc>
          <w:tcPr>
            <w:tcW w:type="dxa" w:w="388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Dönem, birim, kapsam, metodoloji, evidence linki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Hedef ilerleme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2030 enerji/iklim/sosyal hedefi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Baz yıl, hedef tanımı, gerçekleşme hesabı</w:t>
            </w:r>
          </w:p>
        </w:tc>
      </w:tr>
      <w:tr>
        <w:tc>
          <w:tcPr>
            <w:tcW w:type="dxa" w:w="216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Akış diyagramı</w:t>
            </w:r>
          </w:p>
        </w:tc>
        <w:tc>
          <w:tcPr>
            <w:tcW w:type="dxa" w:w="4032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Ürün→tesis→enerji→emisyon CBAM zinciri</w:t>
            </w:r>
          </w:p>
        </w:tc>
        <w:tc>
          <w:tcPr>
            <w:tcW w:type="dxa" w:w="388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Her düğümde kaynak ve onay durumu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Karşılaştırma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Tesis/ürün/iş birimi bazında performans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Sınır farkı ve karşılaştırılabilirlik uyarısı</w:t>
            </w:r>
          </w:p>
        </w:tc>
      </w:tr>
      <w:tr>
        <w:tc>
          <w:tcPr>
            <w:tcW w:type="dxa" w:w="216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Report Relationship Map</w:t>
            </w:r>
          </w:p>
        </w:tc>
        <w:tc>
          <w:tcPr>
            <w:tcW w:type="dxa" w:w="4032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Faaliyet/sürdürülebilirlik/CBAM raporlarındaki ortak veri</w:t>
            </w:r>
          </w:p>
        </w:tc>
        <w:tc>
          <w:tcPr>
            <w:tcW w:type="dxa" w:w="388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Paylaşılan kaynaklar ve olası çelişkiler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8463F"/>
        </w:rPr>
        <w:t>7. 12 Aylık Yol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Faz</w:t>
            </w:r>
          </w:p>
        </w:tc>
        <w:tc>
          <w:tcPr>
            <w:tcW w:type="dxa" w:w="1008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Süre</w:t>
            </w:r>
          </w:p>
        </w:tc>
        <w:tc>
          <w:tcPr>
            <w:tcW w:type="dxa" w:w="2880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Odak</w:t>
            </w:r>
          </w:p>
        </w:tc>
        <w:tc>
          <w:tcPr>
            <w:tcW w:type="dxa" w:w="4320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Ana çıktı</w:t>
            </w:r>
          </w:p>
        </w:tc>
      </w:tr>
      <w:tr>
        <w:tc>
          <w:tcPr>
            <w:tcW w:type="dxa" w:w="180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0. Keşif &amp; pilot</w:t>
            </w:r>
          </w:p>
        </w:tc>
        <w:tc>
          <w:tcPr>
            <w:tcW w:type="dxa" w:w="100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2 hf</w:t>
            </w:r>
          </w:p>
        </w:tc>
        <w:tc>
          <w:tcPr>
            <w:tcW w:type="dxa" w:w="288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Problem, partner, sınırlar</w:t>
            </w:r>
          </w:p>
        </w:tc>
        <w:tc>
          <w:tcPr>
            <w:tcW w:type="dxa" w:w="432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2 tasarım partneri + MVP metrikleri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1. Araştırma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 hf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TR + AB + CBAM standart haritası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Sürümlü Standard Registry</w:t>
            </w:r>
          </w:p>
        </w:tc>
      </w:tr>
      <w:tr>
        <w:tc>
          <w:tcPr>
            <w:tcW w:type="dxa" w:w="180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2. UX &amp; bilgi mimarisi</w:t>
            </w:r>
          </w:p>
        </w:tc>
        <w:tc>
          <w:tcPr>
            <w:tcW w:type="dxa" w:w="100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4 hf</w:t>
            </w:r>
          </w:p>
        </w:tc>
        <w:tc>
          <w:tcPr>
            <w:tcW w:type="dxa" w:w="288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Blueprint, evidence, index, tasarım sistemi</w:t>
            </w:r>
          </w:p>
        </w:tc>
        <w:tc>
          <w:tcPr>
            <w:tcW w:type="dxa" w:w="432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Test edilmiş prototip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3. Platform çekirdeği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 hf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Multi-tenant, rol, proje, veri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Güvenli workspace</w:t>
            </w:r>
          </w:p>
        </w:tc>
      </w:tr>
      <w:tr>
        <w:tc>
          <w:tcPr>
            <w:tcW w:type="dxa" w:w="180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4. TR Raporlama MVP</w:t>
            </w:r>
          </w:p>
        </w:tc>
        <w:tc>
          <w:tcPr>
            <w:tcW w:type="dxa" w:w="100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8 hf</w:t>
            </w:r>
          </w:p>
        </w:tc>
        <w:tc>
          <w:tcPr>
            <w:tcW w:type="dxa" w:w="288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Faaliyet + TSRS/GRI + Word</w:t>
            </w:r>
          </w:p>
        </w:tc>
        <w:tc>
          <w:tcPr>
            <w:tcW w:type="dxa" w:w="432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İlk uçtan uca rapor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5. Claude kalite asistanı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 hf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Kaynaklı AI ve inceleme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Grounded AI pilotu</w:t>
            </w:r>
          </w:p>
        </w:tc>
      </w:tr>
      <w:tr>
        <w:tc>
          <w:tcPr>
            <w:tcW w:type="dxa" w:w="180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6. CBAM MVP</w:t>
            </w:r>
          </w:p>
        </w:tc>
        <w:tc>
          <w:tcPr>
            <w:tcW w:type="dxa" w:w="100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8 hf</w:t>
            </w:r>
          </w:p>
        </w:tc>
        <w:tc>
          <w:tcPr>
            <w:tcW w:type="dxa" w:w="288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Bir sektörde evidence/consistency</w:t>
            </w:r>
          </w:p>
        </w:tc>
        <w:tc>
          <w:tcPr>
            <w:tcW w:type="dxa" w:w="432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Pre-verification workspace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7. İnteraktif KPI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5 hf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Veri hikâyesi ve relationship map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Embed edilebilir görseller</w:t>
            </w:r>
          </w:p>
        </w:tc>
      </w:tr>
      <w:tr>
        <w:tc>
          <w:tcPr>
            <w:tcW w:type="dxa" w:w="180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8. Pilot &amp; ürünleşme</w:t>
            </w:r>
          </w:p>
        </w:tc>
        <w:tc>
          <w:tcPr>
            <w:tcW w:type="dxa" w:w="1008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8 hf</w:t>
            </w:r>
          </w:p>
        </w:tc>
        <w:tc>
          <w:tcPr>
            <w:tcW w:type="dxa" w:w="288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2 danışmanlık, 3 müşteri</w:t>
            </w:r>
          </w:p>
        </w:tc>
        <w:tc>
          <w:tcPr>
            <w:tcW w:type="dxa" w:w="4320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Güvenlik + ticari paket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9. AB genişleme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Ay 10–12+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Tek ülke + ESRS pack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Uzman onaylı EU başlangıç paketi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8463F"/>
        </w:rPr>
        <w:t>8. İlk MVP Sınırı</w:t>
      </w:r>
    </w:p>
    <w:p>
      <w:pPr>
        <w:spacing w:after="120"/>
      </w:pPr>
      <w:r>
        <w:rPr>
          <w:rFonts w:ascii="Aptos" w:hAnsi="Aptos"/>
          <w:sz w:val="20"/>
        </w:rPr>
        <w:t>İlk sürümde bütün AB/Türkiye standartlarını otomatikleştirmek hedeflenmemelidir. Doğru ilk wedge: Türkiye’de TSRS/GRI veya faaliyet raporu hazırlayan, aynı zamanda AB ihracatı bulunan üretim şirketleriyle çalışan danışmanlık firmaları.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Multi-tenant workspace, rol yönetimi ve audit log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Corporate Master Profile ve report blueprint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Türkiye faaliyet raporu + TSRS 1/2 + GRI Core başlangıç paketleri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Excel/manuel veri girişi, kanıt ekleme, owner/onay akışı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30–50 kritik veri kalite kuralı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Kaynaklı Claude belge asistanı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Tasarıma hazır Word output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Tek sektör için CBAM evidence ve consistency checks</w:t>
      </w:r>
    </w:p>
    <w:p>
      <w:pPr>
        <w:pStyle w:val="Heading1"/>
      </w:pPr>
      <w:r>
        <w:rPr>
          <w:rFonts w:ascii="Aptos Display" w:hAnsi="Aptos Display"/>
          <w:color w:val="28463F"/>
        </w:rPr>
        <w:t>9. Başarı Ölçütleri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056"/>
            <w:vAlign w:val="center"/>
            <w:shd w:fill="28463F"/>
          </w:tcPr>
          <w:p>
            <w:r/>
            <w:r>
              <w:rPr>
                <w:b/>
                <w:color w:val="FFFFFF"/>
                <w:sz w:val="17"/>
              </w:rPr>
              <w:t>12 aylık hedef</w:t>
            </w:r>
          </w:p>
        </w:tc>
      </w:tr>
      <w:tr>
        <w:tc>
          <w:tcPr>
            <w:tcW w:type="dxa" w:w="3024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Veri kalitesi</w:t>
            </w:r>
          </w:p>
        </w:tc>
        <w:tc>
          <w:tcPr>
            <w:tcW w:type="dxa" w:w="7056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Tasarlanan kritik hata senaryolarının ≥ %90’ını yakalamak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AI güveni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AI önerilerinin %100’ünde kaynak veya açık belirsizlik notu</w:t>
            </w:r>
          </w:p>
        </w:tc>
      </w:tr>
      <w:tr>
        <w:tc>
          <w:tcPr>
            <w:tcW w:type="dxa" w:w="3024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Operasyon</w:t>
            </w:r>
          </w:p>
        </w:tc>
        <w:tc>
          <w:tcPr>
            <w:tcW w:type="dxa" w:w="7056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Veri toplama/takip süresinde ≥ %25 iyileşme hedefi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Tasarım handoff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Onay sonrası tasarım veri revizyonlarında ≥ %30 azalma hedefi</w:t>
            </w:r>
          </w:p>
        </w:tc>
      </w:tr>
      <w:tr>
        <w:tc>
          <w:tcPr>
            <w:tcW w:type="dxa" w:w="3024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Pilot</w:t>
            </w:r>
          </w:p>
        </w:tc>
        <w:tc>
          <w:tcPr>
            <w:tcW w:type="dxa" w:w="7056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2 danışmanlık tenantı + 3 müşteri workspace’i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Güvenlik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Tenant izolasyonunda 0 yüksek risk bulgu</w:t>
            </w:r>
          </w:p>
        </w:tc>
      </w:tr>
      <w:tr>
        <w:tc>
          <w:tcPr>
            <w:tcW w:type="dxa" w:w="3024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Regülasyon</w:t>
            </w:r>
          </w:p>
        </w:tc>
        <w:tc>
          <w:tcPr>
            <w:tcW w:type="dxa" w:w="7056"/>
            <w:vAlign w:val="center"/>
            <w:shd w:fill="F4F2EC"/>
          </w:tcPr>
          <w:p>
            <w:r/>
            <w:r>
              <w:rPr>
                <w:b w:val="0"/>
                <w:sz w:val="17"/>
              </w:rPr>
              <w:t>Kritik düzenleme değişikliklerinde 5 iş günü içi triage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8463F"/>
        </w:rPr>
        <w:t>10. Regülasyon Durum Notu</w:t>
      </w:r>
    </w:p>
    <w:p>
      <w:pPr>
        <w:spacing w:after="120"/>
      </w:pPr>
      <w:r>
        <w:rPr>
          <w:rFonts w:ascii="Aptos" w:hAnsi="Aptos"/>
          <w:sz w:val="20"/>
        </w:rPr>
        <w:t>Bu yol haritası 15 Ekim 2026 itibarıyla hazırlanmıştır. AB sürdürülebilirlik düzenlemeleri Omnibus I ve ESRS değişiklikleri nedeniyle hızla güncellenmektedir; Türkiye’de de TSRS kapsamı, geçiş ve sektörel uygulamalar profil bazında kontrol edilmelidir. MİZAN’ın ürün kuralı, herhangi bir standardı yalnızca resmi kaynak, sürüm ve yürürlük durumu kayıtlıysa otomatik akışa dahil etmektir.</w:t>
      </w:r>
    </w:p>
    <w:p>
      <w:pPr>
        <w:spacing w:after="120"/>
      </w:pPr>
      <w:r>
        <w:rPr>
          <w:rFonts w:ascii="Aptos" w:hAnsi="Aptos"/>
          <w:sz w:val="20"/>
        </w:rPr>
        <w:t>İlk resmi kaynak seti ve URL’ler bu paketteki `07_Kaynak_Notlari.md` ve `05_Standart_ve_Kaynak_Kayitlari.csv` dosyalarında bulunur.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A66"/>
        <w:sz w:val="16"/>
      </w:rPr>
      <w:t>MİZAN | Compliance-ready, source-linked, human-approved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