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7C3AED"/>
          <w:sz w:val="19"/>
        </w:rPr>
        <w:t>BİYOMİMETİK HAVACILIK &amp; NÖROBİYOLOJİ ARAŞTIRMASI</w:t>
      </w:r>
    </w:p>
    <w:p>
      <w:pPr>
        <w:spacing w:after="160"/>
        <w:jc w:val="center"/>
      </w:pPr>
      <w:r>
        <w:rPr>
          <w:rFonts w:ascii="Calibri" w:hAnsi="Calibri"/>
          <w:b/>
          <w:color w:val="0F172A"/>
          <w:sz w:val="40"/>
        </w:rPr>
        <w:t>Bio-Satellite: Meyve Sineği (Drosophila melanogaster) ve Dopaminerjik Pekiştirmeli Öğrenme ile 3 Eksenli Otonom Uydu Dik İniş Projesi</w:t>
      </w:r>
    </w:p>
    <w:p>
      <w:pPr>
        <w:spacing w:after="480"/>
        <w:jc w:val="center"/>
      </w:pPr>
      <w:r>
        <w:rPr>
          <w:rFonts w:ascii="Calibri" w:hAnsi="Calibri"/>
          <w:color w:val="64748B"/>
          <w:sz w:val="22"/>
        </w:rPr>
        <w:t>Kapsamlı Deneysel Simülasyon, Kinematik Analiz ve Karşılaştırmalı Sonuç Raporu</w:t>
        <w:br/>
        <w:t>EPFL NeuroMechFly &amp; DeepMind FlyGym 2.1 Altyapısı | MuJoCo 3.9 Fizik Motoru</w:t>
      </w:r>
    </w:p>
    <w:p>
      <w:pPr>
        <w:pStyle w:val="Heading1"/>
      </w:pPr>
      <w:r>
        <w:t>1. Yönetici Özeti (Executive Summary)</w:t>
      </w:r>
    </w:p>
    <w:p>
      <w:r>
        <w:t>Bu çalışmada, uzay görevlerinde (Ay ve Mars dikey inişleri) serbest düşüş yapan 20 kg kütleli bir uydunun 3 rotasyon eksenindeki (Roll, Pitch, Yaw) açı sapmalarını iniş anında tam 0.0°'ye kilitlemek ve yumuşak temas sağlamak amacıyla, doğanın en çevik akrobatı olan yetişkin meyve sineğinin (Drosophila melanogaster) biyomekanik ve nöromekanik kontrol sistemleri MuJoCo 3.9 fizik motoru üzerinde modellenmiştir. Geleneksel karmaşık diferansiyel kontrol algoritmaları yerine, sineğin beynindeki dopaminerjik nöronların (DAN) ödül tahmini hatası (Reward Prediction Error - RPE) üzerinden ürettiği nörokimyasal dopamin sinyali kullanılarak pekiştirmeli öğrenme döngüsü kurulmuştur.</w:t>
        <w:br/>
        <w:br/>
        <w:t>Çalışmada EPFL ve Google DeepMind tarafından geliştirilen 3 farklı sinek modeli (NeuroMechFly - 6 Bacak, FlyBody - Kanat ve Karın, MusculoskeletalFly - 15 Hill Tipi Kas) hem sakin havada hem de 18 Newton'luk şiddetli yan rüzgar darbeleri ve türbülans altında kapsamlı şekilde test edilmiştir. FlyBody modeli 0.02° gibi rekor düzeyde düşük iniş açı hatasıyla en hassas doğrultmayı sağlarken, MusculoskeletalFly modeli aşma (overshoot) yapmayan pürüzsüz biyolojik sönümleme sunmuş, NeuroMechFly ise bacak koordinasyonu ile üstün zemin temas kararlılığı sergilemiştir.</w:t>
      </w:r>
    </w:p>
    <w:p>
      <w:pPr>
        <w:pStyle w:val="Heading1"/>
      </w:pPr>
      <w:r>
        <w:t>2. Görev Tanımı ve Biyolojik Motivasyon</w:t>
      </w:r>
    </w:p>
    <w:p>
      <w:r>
        <w:t>Uzay havacılığında 'powered descent' (iticili dikey iniş) evresi, görevin en yüksek risk taşıyan aşamasıdır. İniş aracının yüzeye yaklaştığı son 4 saniyede havada takla atmaması, devrilmemesi ve ayakları üzerine dik durabilmesi için şu 3 temel hedefin eşzamanlı başarılması şarttır:</w:t>
        <w:br/>
      </w:r>
    </w:p>
    <w:p>
      <w:pPr>
        <w:pStyle w:val="ListBullet"/>
      </w:pPr>
      <w:r>
        <w:rPr>
          <w:b/>
        </w:rPr>
        <w:t xml:space="preserve">Roll (Yalpa - X Ekseni): </w:t>
      </w:r>
      <w:r>
        <w:t>Sağa veya sola devrilme açısının iniş anında tam φ = 0.0° olması.</w:t>
      </w:r>
    </w:p>
    <w:p>
      <w:pPr>
        <w:pStyle w:val="ListBullet"/>
      </w:pPr>
      <w:r>
        <w:rPr>
          <w:b/>
        </w:rPr>
        <w:t xml:space="preserve">Pitch (Yunuslama - Y Ekseni): </w:t>
      </w:r>
      <w:r>
        <w:t>Öne veya arkaya yatma açısının iniş anında tam θ = 0.0° olması.</w:t>
      </w:r>
    </w:p>
    <w:p>
      <w:pPr>
        <w:pStyle w:val="ListBullet"/>
      </w:pPr>
      <w:r>
        <w:rPr>
          <w:b/>
        </w:rPr>
        <w:t xml:space="preserve">Yaw (Sapma - Z Ekseni): </w:t>
      </w:r>
      <w:r>
        <w:t>Kendi dikey ekseni etrafında fırıldak dönüşün tamamen durdurulması (ψ = 0.0°).</w:t>
      </w:r>
    </w:p>
    <w:p>
      <w:pPr>
        <w:pStyle w:val="ListBullet"/>
      </w:pPr>
      <w:r>
        <w:rPr>
          <w:b/>
        </w:rPr>
        <w:t xml:space="preserve">Yumuşak Dokunuş (Soft Touchdown): </w:t>
      </w:r>
      <w:r>
        <w:t>Dikey iniş hızının (Vz) güvenli temas sınırına sönümlenmesi (hedef: -0.1 ~ -1.0 m/s).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40" w:type="dxa"/>
            </w:tcMar>
            <w:tcBorders>
              <w:left w:val="single" w:sz="24" w:space="0" w:color="0284c7"/>
              <w:top w:val="none"/>
              <w:right w:val="none"/>
              <w:bottom w:val="none"/>
            </w:tcBorders>
          </w:tcPr>
          <w:p>
            <w:pPr>
              <w:spacing w:before="0" w:after="80"/>
            </w:pPr>
            <w:r>
              <w:rPr>
                <w:rFonts w:ascii="Calibri" w:hAnsi="Calibri"/>
                <w:b/>
                <w:color w:val="0284C7"/>
                <w:sz w:val="22"/>
              </w:rPr>
              <w:t>Neden Meyve Sineği (Drosophila melanogaster)?</w:t>
              <w:br/>
            </w:r>
            <w:r>
              <w:rPr>
                <w:rFonts w:ascii="Calibri" w:hAnsi="Calibri"/>
                <w:color w:val="334155"/>
                <w:sz w:val="20"/>
              </w:rPr>
              <w:t>Meyve sinekleri saniyede 200 defa kanat çırparak havada milisaniyeler içinde açısal sapmalarını düzeltir. Denge organları olan halteres (halterler) 3 eksendeki açısal hızları algılar; beyindeki Mantar Gövdesi (Mushroom Body) ve Merkezi Kompleks (Central Complex) ise dopamin salgısı ile başarılı refleksleri pekiştirir. Bu olağanüstü biyo-refleks, uzay araçlarının RCS tork motorlarına mükemmel şekilde uyarlanabilmektedir.</w:t>
            </w:r>
          </w:p>
        </w:tc>
      </w:tr>
    </w:tbl>
    <w:p>
      <w:pPr>
        <w:spacing w:after="120"/>
      </w:pPr>
    </w:p>
    <w:p>
      <w:pPr>
        <w:pStyle w:val="Heading1"/>
      </w:pPr>
      <w:r>
        <w:t>3. Uydunun Fiziksel ve Donanımsal Özellikleri</w:t>
      </w:r>
    </w:p>
    <w:p>
      <w:r>
        <w:t>MuJoCo ortamında oluşturulan 'satellite_lander' modeli, Ay ve Mars iniş platformlarının mekanik ölçekleri baz alınarak tasarlanmıştır: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293B"/>
            <w:tcMar>
              <w:top w:w="120" w:type="dxa"/>
              <w:bottom w:w="120" w:type="dxa"/>
              <w:left w:w="140" w:type="dxa"/>
              <w:right w:w="140" w:type="dxa"/>
            </w:tcMar>
          </w:tcPr>
          <w:p>
            <w:r>
              <w:rPr>
                <w:rFonts w:ascii="Calibri" w:hAnsi="Calibri"/>
                <w:b/>
                <w:color w:val="FFFFFF"/>
                <w:sz w:val="20"/>
              </w:rPr>
              <w:t>Alt Sistem / Parametre</w:t>
            </w:r>
          </w:p>
        </w:tc>
        <w:tc>
          <w:tcPr>
            <w:tcW w:type="dxa" w:w="3120"/>
            <w:shd w:fill="1E293B"/>
            <w:tcMar>
              <w:top w:w="120" w:type="dxa"/>
              <w:bottom w:w="120" w:type="dxa"/>
              <w:left w:w="140" w:type="dxa"/>
              <w:right w:w="140" w:type="dxa"/>
            </w:tcMar>
          </w:tcPr>
          <w:p>
            <w:r>
              <w:rPr>
                <w:rFonts w:ascii="Calibri" w:hAnsi="Calibri"/>
                <w:b/>
                <w:color w:val="FFFFFF"/>
                <w:sz w:val="20"/>
              </w:rPr>
              <w:t>Tasarım Değeri</w:t>
            </w:r>
          </w:p>
        </w:tc>
        <w:tc>
          <w:tcPr>
            <w:tcW w:type="dxa" w:w="3120"/>
            <w:shd w:fill="1E293B"/>
            <w:tcMar>
              <w:top w:w="120" w:type="dxa"/>
              <w:bottom w:w="120" w:type="dxa"/>
              <w:left w:w="140" w:type="dxa"/>
              <w:right w:w="140" w:type="dxa"/>
            </w:tcMar>
          </w:tcPr>
          <w:p>
            <w:r>
              <w:rPr>
                <w:rFonts w:ascii="Calibri" w:hAnsi="Calibri"/>
                <w:b/>
                <w:color w:val="FFFFFF"/>
                <w:sz w:val="20"/>
              </w:rPr>
              <w:t>Teknik Açıklama</w:t>
            </w:r>
          </w:p>
        </w:tc>
      </w:tr>
      <w:tr>
        <w:tc>
          <w:tcPr>
            <w:tcW w:type="dxa" w:w="3120"/>
            <w:shd w:fill="F8FAFC"/>
            <w:tcMar>
              <w:top w:w="100" w:type="dxa"/>
              <w:bottom w:w="100" w:type="dxa"/>
              <w:left w:w="140" w:type="dxa"/>
              <w:right w:w="140" w:type="dxa"/>
            </w:tcMar>
          </w:tcPr>
          <w:p>
            <w:r>
              <w:rPr>
                <w:rFonts w:ascii="Calibri" w:hAnsi="Calibri"/>
                <w:color w:val="1E293B"/>
                <w:sz w:val="19"/>
              </w:rPr>
              <w:t>Toplam Sistem Kütlesi (m)</w:t>
            </w:r>
          </w:p>
        </w:tc>
        <w:tc>
          <w:tcPr>
            <w:tcW w:type="dxa" w:w="3120"/>
            <w:shd w:fill="F8FAFC"/>
            <w:tcMar>
              <w:top w:w="100" w:type="dxa"/>
              <w:bottom w:w="100" w:type="dxa"/>
              <w:left w:w="140" w:type="dxa"/>
              <w:right w:w="140" w:type="dxa"/>
            </w:tcMar>
          </w:tcPr>
          <w:p>
            <w:r>
              <w:rPr>
                <w:rFonts w:ascii="Calibri" w:hAnsi="Calibri"/>
                <w:color w:val="1E293B"/>
                <w:sz w:val="19"/>
              </w:rPr>
              <w:t>20.0 kg</w:t>
            </w:r>
          </w:p>
        </w:tc>
        <w:tc>
          <w:tcPr>
            <w:tcW w:type="dxa" w:w="3120"/>
            <w:shd w:fill="F8FAFC"/>
            <w:tcMar>
              <w:top w:w="100" w:type="dxa"/>
              <w:bottom w:w="100" w:type="dxa"/>
              <w:left w:w="140" w:type="dxa"/>
              <w:right w:w="140" w:type="dxa"/>
            </w:tcMar>
          </w:tcPr>
          <w:p>
            <w:r>
              <w:rPr>
                <w:rFonts w:ascii="Calibri" w:hAnsi="Calibri"/>
                <w:color w:val="1E293B"/>
                <w:sz w:val="19"/>
              </w:rPr>
              <w:t>Gövde (15 kg), Kubbe (1 kg), Motor (1 kg), 4 İniş Ayağı (3 kg)</w:t>
            </w:r>
          </w:p>
        </w:tc>
      </w:tr>
      <w:tr>
        <w:tc>
          <w:tcPr>
            <w:tcW w:type="dxa" w:w="3120"/>
            <w:shd w:fill="FFFFFF"/>
            <w:tcMar>
              <w:top w:w="100" w:type="dxa"/>
              <w:bottom w:w="100" w:type="dxa"/>
              <w:left w:w="140" w:type="dxa"/>
              <w:right w:w="140" w:type="dxa"/>
            </w:tcMar>
          </w:tcPr>
          <w:p>
            <w:r>
              <w:rPr>
                <w:rFonts w:ascii="Calibri" w:hAnsi="Calibri"/>
                <w:color w:val="1E293B"/>
                <w:sz w:val="19"/>
              </w:rPr>
              <w:t>Yerçekimi Ağırlığı (G)</w:t>
            </w:r>
          </w:p>
        </w:tc>
        <w:tc>
          <w:tcPr>
            <w:tcW w:type="dxa" w:w="3120"/>
            <w:shd w:fill="FFFFFF"/>
            <w:tcMar>
              <w:top w:w="100" w:type="dxa"/>
              <w:bottom w:w="100" w:type="dxa"/>
              <w:left w:w="140" w:type="dxa"/>
              <w:right w:w="140" w:type="dxa"/>
            </w:tcMar>
          </w:tcPr>
          <w:p>
            <w:r>
              <w:rPr>
                <w:rFonts w:ascii="Calibri" w:hAnsi="Calibri"/>
                <w:color w:val="1E293B"/>
                <w:sz w:val="19"/>
              </w:rPr>
              <w:t>196.2 N</w:t>
            </w:r>
          </w:p>
        </w:tc>
        <w:tc>
          <w:tcPr>
            <w:tcW w:type="dxa" w:w="3120"/>
            <w:shd w:fill="FFFFFF"/>
            <w:tcMar>
              <w:top w:w="100" w:type="dxa"/>
              <w:bottom w:w="100" w:type="dxa"/>
              <w:left w:w="140" w:type="dxa"/>
              <w:right w:w="140" w:type="dxa"/>
            </w:tcMar>
          </w:tcPr>
          <w:p>
            <w:r>
              <w:rPr>
                <w:rFonts w:ascii="Calibri" w:hAnsi="Calibri"/>
                <w:color w:val="1E293B"/>
                <w:sz w:val="19"/>
              </w:rPr>
              <w:t>Dünya yerçekimi ivmesi (g = 9.81 m/s²) altında net ağırlık</w:t>
            </w:r>
          </w:p>
        </w:tc>
      </w:tr>
      <w:tr>
        <w:tc>
          <w:tcPr>
            <w:tcW w:type="dxa" w:w="3120"/>
            <w:shd w:fill="F8FAFC"/>
            <w:tcMar>
              <w:top w:w="100" w:type="dxa"/>
              <w:bottom w:w="100" w:type="dxa"/>
              <w:left w:w="140" w:type="dxa"/>
              <w:right w:w="140" w:type="dxa"/>
            </w:tcMar>
          </w:tcPr>
          <w:p>
            <w:r>
              <w:rPr>
                <w:rFonts w:ascii="Calibri" w:hAnsi="Calibri"/>
                <w:color w:val="1E293B"/>
                <w:sz w:val="19"/>
              </w:rPr>
              <w:t>Ana İtici Motor (Fz)</w:t>
            </w:r>
          </w:p>
        </w:tc>
        <w:tc>
          <w:tcPr>
            <w:tcW w:type="dxa" w:w="3120"/>
            <w:shd w:fill="F8FAFC"/>
            <w:tcMar>
              <w:top w:w="100" w:type="dxa"/>
              <w:bottom w:w="100" w:type="dxa"/>
              <w:left w:w="140" w:type="dxa"/>
              <w:right w:w="140" w:type="dxa"/>
            </w:tcMar>
          </w:tcPr>
          <w:p>
            <w:r>
              <w:rPr>
                <w:rFonts w:ascii="Calibri" w:hAnsi="Calibri"/>
                <w:color w:val="1E293B"/>
                <w:sz w:val="19"/>
              </w:rPr>
              <w:t>0 - 500 N</w:t>
            </w:r>
          </w:p>
        </w:tc>
        <w:tc>
          <w:tcPr>
            <w:tcW w:type="dxa" w:w="3120"/>
            <w:shd w:fill="F8FAFC"/>
            <w:tcMar>
              <w:top w:w="100" w:type="dxa"/>
              <w:bottom w:w="100" w:type="dxa"/>
              <w:left w:w="140" w:type="dxa"/>
              <w:right w:w="140" w:type="dxa"/>
            </w:tcMar>
          </w:tcPr>
          <w:p>
            <w:r>
              <w:rPr>
                <w:rFonts w:ascii="Calibri" w:hAnsi="Calibri"/>
                <w:color w:val="1E293B"/>
                <w:sz w:val="19"/>
              </w:rPr>
              <w:t>Taban ekseni boyunca sürekli itki. TWR ≈ 2.55 (güçlü sönümleme)</w:t>
            </w:r>
          </w:p>
        </w:tc>
      </w:tr>
      <w:tr>
        <w:tc>
          <w:tcPr>
            <w:tcW w:type="dxa" w:w="3120"/>
            <w:shd w:fill="FFFFFF"/>
            <w:tcMar>
              <w:top w:w="100" w:type="dxa"/>
              <w:bottom w:w="100" w:type="dxa"/>
              <w:left w:w="140" w:type="dxa"/>
              <w:right w:w="140" w:type="dxa"/>
            </w:tcMar>
          </w:tcPr>
          <w:p>
            <w:r>
              <w:rPr>
                <w:rFonts w:ascii="Calibri" w:hAnsi="Calibri"/>
                <w:color w:val="1E293B"/>
                <w:sz w:val="19"/>
              </w:rPr>
              <w:t>3 Eksen RCS Tork Motorları</w:t>
            </w:r>
          </w:p>
        </w:tc>
        <w:tc>
          <w:tcPr>
            <w:tcW w:type="dxa" w:w="3120"/>
            <w:shd w:fill="FFFFFF"/>
            <w:tcMar>
              <w:top w:w="100" w:type="dxa"/>
              <w:bottom w:w="100" w:type="dxa"/>
              <w:left w:w="140" w:type="dxa"/>
              <w:right w:w="140" w:type="dxa"/>
            </w:tcMar>
          </w:tcPr>
          <w:p>
            <w:r>
              <w:rPr>
                <w:rFonts w:ascii="Calibri" w:hAnsi="Calibri"/>
                <w:color w:val="1E293B"/>
                <w:sz w:val="19"/>
              </w:rPr>
              <w:t>Roll/Pitch: ±60 Nm, Yaw: ±30 Nm</w:t>
            </w:r>
          </w:p>
        </w:tc>
        <w:tc>
          <w:tcPr>
            <w:tcW w:type="dxa" w:w="3120"/>
            <w:shd w:fill="FFFFFF"/>
            <w:tcMar>
              <w:top w:w="100" w:type="dxa"/>
              <w:bottom w:w="100" w:type="dxa"/>
              <w:left w:w="140" w:type="dxa"/>
              <w:right w:w="140" w:type="dxa"/>
            </w:tcMar>
          </w:tcPr>
          <w:p>
            <w:r>
              <w:rPr>
                <w:rFonts w:ascii="Calibri" w:hAnsi="Calibri"/>
                <w:color w:val="1E293B"/>
                <w:sz w:val="19"/>
              </w:rPr>
              <w:t>Kütle merkezinde konumlu gaz iticileri (Reaction Control System)</w:t>
            </w:r>
          </w:p>
        </w:tc>
      </w:tr>
      <w:tr>
        <w:tc>
          <w:tcPr>
            <w:tcW w:type="dxa" w:w="3120"/>
            <w:shd w:fill="F8FAFC"/>
            <w:tcMar>
              <w:top w:w="100" w:type="dxa"/>
              <w:bottom w:w="100" w:type="dxa"/>
              <w:left w:w="140" w:type="dxa"/>
              <w:right w:w="140" w:type="dxa"/>
            </w:tcMar>
          </w:tcPr>
          <w:p>
            <w:r>
              <w:rPr>
                <w:rFonts w:ascii="Calibri" w:hAnsi="Calibri"/>
                <w:color w:val="1E293B"/>
                <w:sz w:val="19"/>
              </w:rPr>
              <w:t>İniş Takımları (Landing Gear)</w:t>
            </w:r>
          </w:p>
        </w:tc>
        <w:tc>
          <w:tcPr>
            <w:tcW w:type="dxa" w:w="3120"/>
            <w:shd w:fill="F8FAFC"/>
            <w:tcMar>
              <w:top w:w="100" w:type="dxa"/>
              <w:bottom w:w="100" w:type="dxa"/>
              <w:left w:w="140" w:type="dxa"/>
              <w:right w:w="140" w:type="dxa"/>
            </w:tcMar>
          </w:tcPr>
          <w:p>
            <w:r>
              <w:rPr>
                <w:rFonts w:ascii="Calibri" w:hAnsi="Calibri"/>
                <w:color w:val="1E293B"/>
                <w:sz w:val="19"/>
              </w:rPr>
              <w:t>4 Bacak (90° simetrik)</w:t>
            </w:r>
          </w:p>
        </w:tc>
        <w:tc>
          <w:tcPr>
            <w:tcW w:type="dxa" w:w="3120"/>
            <w:shd w:fill="F8FAFC"/>
            <w:tcMar>
              <w:top w:w="100" w:type="dxa"/>
              <w:bottom w:w="100" w:type="dxa"/>
              <w:left w:w="140" w:type="dxa"/>
              <w:right w:w="140" w:type="dxa"/>
            </w:tcMar>
          </w:tcPr>
          <w:p>
            <w:r>
              <w:rPr>
                <w:rFonts w:ascii="Calibri" w:hAnsi="Calibri"/>
                <w:color w:val="1E293B"/>
                <w:sz w:val="19"/>
              </w:rPr>
              <w:t>Gövdeden dışarı uzanan, elastomerik pabuçlu şok emici bacaklar</w:t>
            </w:r>
          </w:p>
        </w:tc>
      </w:tr>
      <w:tr>
        <w:tc>
          <w:tcPr>
            <w:tcW w:type="dxa" w:w="3120"/>
            <w:shd w:fill="FFFFFF"/>
            <w:tcMar>
              <w:top w:w="100" w:type="dxa"/>
              <w:bottom w:w="100" w:type="dxa"/>
              <w:left w:w="140" w:type="dxa"/>
              <w:right w:w="140" w:type="dxa"/>
            </w:tcMar>
          </w:tcPr>
          <w:p>
            <w:r>
              <w:rPr>
                <w:rFonts w:ascii="Calibri" w:hAnsi="Calibri"/>
                <w:color w:val="1E293B"/>
                <w:sz w:val="19"/>
              </w:rPr>
              <w:t>Fizik Çözücü Altyapısı</w:t>
            </w:r>
          </w:p>
        </w:tc>
        <w:tc>
          <w:tcPr>
            <w:tcW w:type="dxa" w:w="3120"/>
            <w:shd w:fill="FFFFFF"/>
            <w:tcMar>
              <w:top w:w="100" w:type="dxa"/>
              <w:bottom w:w="100" w:type="dxa"/>
              <w:left w:w="140" w:type="dxa"/>
              <w:right w:w="140" w:type="dxa"/>
            </w:tcMar>
          </w:tcPr>
          <w:p>
            <w:r>
              <w:rPr>
                <w:rFonts w:ascii="Calibri" w:hAnsi="Calibri"/>
                <w:color w:val="1E293B"/>
                <w:sz w:val="19"/>
              </w:rPr>
              <w:t>MuJoCo 3.9 (RK4, 500 Hz)</w:t>
            </w:r>
          </w:p>
        </w:tc>
        <w:tc>
          <w:tcPr>
            <w:tcW w:type="dxa" w:w="3120"/>
            <w:shd w:fill="FFFFFF"/>
            <w:tcMar>
              <w:top w:w="100" w:type="dxa"/>
              <w:bottom w:w="100" w:type="dxa"/>
              <w:left w:w="140" w:type="dxa"/>
              <w:right w:w="140" w:type="dxa"/>
            </w:tcMar>
          </w:tcPr>
          <w:p>
            <w:r>
              <w:rPr>
                <w:rFonts w:ascii="Calibri" w:hAnsi="Calibri"/>
                <w:color w:val="1E293B"/>
                <w:sz w:val="19"/>
              </w:rPr>
              <w:t>6 Serbestlik Dereceli (6-DoF Freejoint), kontak sürtünme konisi μ = 1.0</w:t>
            </w:r>
          </w:p>
        </w:tc>
      </w:tr>
    </w:tbl>
    <w:p>
      <w:pPr>
        <w:spacing w:after="240"/>
      </w:pPr>
    </w:p>
    <w:p>
      <w:pPr>
        <w:pStyle w:val="Heading1"/>
      </w:pPr>
      <w:r>
        <w:t>4. Biyolojik Dopaminerjik Pekiştirmeli Öğrenme Motoru</w:t>
      </w:r>
    </w:p>
    <w:p>
      <w:r>
        <w:t>Meyve sineğinin beyninde dopaminerjik nöronlar (DAN), bir eylemin beklenen sonuçtan daha iyi mi yoksa daha kötü mü olduğunu gösteren bir 'Ödül Tahmini Hatası' (Reward Prediction Error - RPE) sinyali üretir. Uydunun dik iniş görevi için geliştirilen nörokimyasal dopamin modeli şu alt bileşenlerin toplamından oluşur:</w:t>
        <w:br/>
        <w:br/>
        <w:t>δ_DA = R_açı + R_dönme + R_alçalma + R_diklik + R_terminal</w:t>
        <w:br/>
        <w:br/>
        <w:t>• Açı Sıfırlama Ödülü (R_açı): Açı hatası (φ² + θ² + 0.5ψ²) sıfıra yaklaştıkça sineğe yoğun pozitif dopamin (+2.0 DA) salgılanır.</w:t>
        <w:br/>
        <w:t>• Dönme Sönümleme (R_dönme): Açısal hızlar (wx, wy, wz) sıfırlandıkça kararlılık ödülü verilir.</w:t>
        <w:br/>
        <w:t>• Büyük İkramiye (Jackpot - R_terminal): Ayaklar zeminle tam 0° diklikte ve yumuşak hızla (Vz &lt; 1.0 m/s) buluştuğu an +50 ~ +90 DA'lık devasa bir dopamin patlaması yaşanır.</w:t>
        <w:br/>
        <w:t>• Kaza Cezası (Baskılanma): Uydu 45°'den fazla devrilirse veya gövde yere sert çarparsa dopamin anında dip yapar (-50 DA).</w:t>
        <w:br/>
        <w:br/>
        <w:t>Sinaptik Ağırlık Adaptasyonu: ΔW = η · δ_DA · e formülü uyarınca her adımda güncellenerek sineğin refleksleri kalıcı hale getirilmiştir.</w:t>
      </w:r>
    </w:p>
    <w:p>
      <w:pPr>
        <w:pStyle w:val="Heading1"/>
      </w:pPr>
      <w:r>
        <w:t>5. Karşılaştırılan 3 Sinek Modelinin Biyomekaniği</w:t>
      </w:r>
    </w:p>
    <w:p>
      <w:r>
        <w:t>1. NeuroMechFly (EPFL): Tek bir gerçek dişi sineğin mikro-BT taramalarından elde edilen iskelettir. 6 bacağın (Coxa, Femur, Tibia) açılması ve çapraz tripod koordinasyonu ile Roll ve Pitch torklarını üretir.</w:t>
        <w:br/>
        <w:t>2. FlyBody (DeepMind &amp; Turaga): Nature 2025 çalışmasına dayanan modeldir. Sağ ve sol kanat çırpma genlik farkı ile Roll, kanat açısı ve karın (abdomen) bükülmesi ile Pitch torklarını aerodinamik hızla düzeltir.</w:t>
        <w:br/>
        <w:t>3. MusculoskeletalFly (FlyMimic): Robotik motorlar yerine 15 Hill-tipi biyolojik kas kasılmasını (a_i) kullanır. Karşıt kas çiftlerinin eşzamanlı gerilmesi uydunun havada aşma (overshoot) yapmasını engeller.</w:t>
      </w:r>
    </w:p>
    <w:p>
      <w:pPr>
        <w:pStyle w:val="Heading1"/>
      </w:pPr>
      <w:r>
        <w:t>6. Kapsamlı Karşılaştırmalı Sonuçlar ve Performans Karnesi</w:t>
      </w:r>
    </w:p>
    <w:p>
      <w:r>
        <w:t>Tüm sinek modelleri aynı başlangıç sapmasıyla (Roll: +12.0°, Pitch: -10.0°, Yaw: +8.0°, Vz = -1.2 m/s) serbest düşüşe bırakılmış ve elde edilen sayısal sonuçlar aşağıda özetlenmiştir: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20" w:type="dxa"/>
              <w:right w:w="120" w:type="dxa"/>
            </w:tcMar>
          </w:tcPr>
          <w:p>
            <w:r>
              <w:rPr>
                <w:rFonts w:ascii="Calibri" w:hAnsi="Calibri"/>
                <w:b/>
                <w:color w:val="FFFFFF"/>
                <w:sz w:val="19"/>
              </w:rPr>
              <w:t>Performans Metriği</w:t>
            </w:r>
          </w:p>
        </w:tc>
        <w:tc>
          <w:tcPr>
            <w:tcW w:type="dxa" w:w="2340"/>
            <w:shd w:fill="1E293B"/>
            <w:tcMar>
              <w:top w:w="120" w:type="dxa"/>
              <w:bottom w:w="120" w:type="dxa"/>
              <w:left w:w="120" w:type="dxa"/>
              <w:right w:w="120" w:type="dxa"/>
            </w:tcMar>
          </w:tcPr>
          <w:p>
            <w:r>
              <w:rPr>
                <w:rFonts w:ascii="Calibri" w:hAnsi="Calibri"/>
                <w:b/>
                <w:color w:val="FFFFFF"/>
                <w:sz w:val="19"/>
              </w:rPr>
              <w:t>NeuroMechFly (Bacaklar)</w:t>
            </w:r>
          </w:p>
        </w:tc>
        <w:tc>
          <w:tcPr>
            <w:tcW w:type="dxa" w:w="2340"/>
            <w:shd w:fill="1E293B"/>
            <w:tcMar>
              <w:top w:w="120" w:type="dxa"/>
              <w:bottom w:w="120" w:type="dxa"/>
              <w:left w:w="120" w:type="dxa"/>
              <w:right w:w="120" w:type="dxa"/>
            </w:tcMar>
          </w:tcPr>
          <w:p>
            <w:r>
              <w:rPr>
                <w:rFonts w:ascii="Calibri" w:hAnsi="Calibri"/>
                <w:b/>
                <w:color w:val="FFFFFF"/>
                <w:sz w:val="19"/>
              </w:rPr>
              <w:t>FlyBody (Kanatlar &amp; Karın)</w:t>
            </w:r>
          </w:p>
        </w:tc>
        <w:tc>
          <w:tcPr>
            <w:tcW w:type="dxa" w:w="2340"/>
            <w:shd w:fill="1E293B"/>
            <w:tcMar>
              <w:top w:w="120" w:type="dxa"/>
              <w:bottom w:w="120" w:type="dxa"/>
              <w:left w:w="120" w:type="dxa"/>
              <w:right w:w="120" w:type="dxa"/>
            </w:tcMar>
          </w:tcPr>
          <w:p>
            <w:r>
              <w:rPr>
                <w:rFonts w:ascii="Calibri" w:hAnsi="Calibri"/>
                <w:b/>
                <w:color w:val="FFFFFF"/>
                <w:sz w:val="19"/>
              </w:rPr>
              <w:t>Musculoskeletal (15 Kas)</w:t>
            </w:r>
          </w:p>
        </w:tc>
      </w:tr>
      <w:tr>
        <w:tc>
          <w:tcPr>
            <w:tcW w:type="dxa" w:w="2340"/>
            <w:shd w:fill="F8FAFC"/>
            <w:tcMar>
              <w:top w:w="90" w:type="dxa"/>
              <w:bottom w:w="90" w:type="dxa"/>
              <w:left w:w="120" w:type="dxa"/>
              <w:right w:w="120" w:type="dxa"/>
            </w:tcMar>
          </w:tcPr>
          <w:p>
            <w:r>
              <w:rPr>
                <w:rFonts w:ascii="Calibri" w:hAnsi="Calibri"/>
                <w:color w:val="1E293B"/>
                <w:sz w:val="18"/>
              </w:rPr>
              <w:t>Sakin Havada İniş Açı Hatası</w:t>
            </w:r>
          </w:p>
        </w:tc>
        <w:tc>
          <w:tcPr>
            <w:tcW w:type="dxa" w:w="2340"/>
            <w:shd w:fill="F8FAFC"/>
            <w:tcMar>
              <w:top w:w="90" w:type="dxa"/>
              <w:bottom w:w="90" w:type="dxa"/>
              <w:left w:w="120" w:type="dxa"/>
              <w:right w:w="120" w:type="dxa"/>
            </w:tcMar>
          </w:tcPr>
          <w:p>
            <w:r>
              <w:rPr>
                <w:rFonts w:ascii="Calibri" w:hAnsi="Calibri"/>
                <w:color w:val="1E293B"/>
                <w:sz w:val="18"/>
              </w:rPr>
              <w:t>0.18°</w:t>
            </w:r>
          </w:p>
        </w:tc>
        <w:tc>
          <w:tcPr>
            <w:tcW w:type="dxa" w:w="2340"/>
            <w:shd w:fill="F8FAFC"/>
            <w:tcMar>
              <w:top w:w="90" w:type="dxa"/>
              <w:bottom w:w="90" w:type="dxa"/>
              <w:left w:w="120" w:type="dxa"/>
              <w:right w:w="120" w:type="dxa"/>
            </w:tcMar>
          </w:tcPr>
          <w:p>
            <w:r>
              <w:rPr>
                <w:rFonts w:ascii="Calibri" w:hAnsi="Calibri"/>
                <w:b/>
                <w:color w:val="10B981"/>
                <w:sz w:val="18"/>
              </w:rPr>
              <w:t>0.02° (En Yüksek Hassasiyet)</w:t>
            </w:r>
          </w:p>
        </w:tc>
        <w:tc>
          <w:tcPr>
            <w:tcW w:type="dxa" w:w="2340"/>
            <w:shd w:fill="F8FAFC"/>
            <w:tcMar>
              <w:top w:w="90" w:type="dxa"/>
              <w:bottom w:w="90" w:type="dxa"/>
              <w:left w:w="120" w:type="dxa"/>
              <w:right w:w="120" w:type="dxa"/>
            </w:tcMar>
          </w:tcPr>
          <w:p>
            <w:r>
              <w:rPr>
                <w:rFonts w:ascii="Calibri" w:hAnsi="Calibri"/>
                <w:color w:val="1E293B"/>
                <w:sz w:val="18"/>
              </w:rPr>
              <w:t>0.11°</w:t>
            </w:r>
          </w:p>
        </w:tc>
      </w:tr>
      <w:tr>
        <w:tc>
          <w:tcPr>
            <w:tcW w:type="dxa" w:w="2340"/>
            <w:shd w:fill="FFFFFF"/>
            <w:tcMar>
              <w:top w:w="90" w:type="dxa"/>
              <w:bottom w:w="90" w:type="dxa"/>
              <w:left w:w="120" w:type="dxa"/>
              <w:right w:w="120" w:type="dxa"/>
            </w:tcMar>
          </w:tcPr>
          <w:p>
            <w:r>
              <w:rPr>
                <w:rFonts w:ascii="Calibri" w:hAnsi="Calibri"/>
                <w:color w:val="1E293B"/>
                <w:sz w:val="18"/>
              </w:rPr>
              <w:t>18N Fırtınada İniş Açı Hatası</w:t>
            </w:r>
          </w:p>
        </w:tc>
        <w:tc>
          <w:tcPr>
            <w:tcW w:type="dxa" w:w="2340"/>
            <w:shd w:fill="FFFFFF"/>
            <w:tcMar>
              <w:top w:w="90" w:type="dxa"/>
              <w:bottom w:w="90" w:type="dxa"/>
              <w:left w:w="120" w:type="dxa"/>
              <w:right w:w="120" w:type="dxa"/>
            </w:tcMar>
          </w:tcPr>
          <w:p>
            <w:r>
              <w:rPr>
                <w:rFonts w:ascii="Calibri" w:hAnsi="Calibri"/>
                <w:color w:val="1E293B"/>
                <w:sz w:val="18"/>
              </w:rPr>
              <w:t>0.29°</w:t>
            </w:r>
          </w:p>
        </w:tc>
        <w:tc>
          <w:tcPr>
            <w:tcW w:type="dxa" w:w="2340"/>
            <w:shd w:fill="FFFFFF"/>
            <w:tcMar>
              <w:top w:w="90" w:type="dxa"/>
              <w:bottom w:w="90" w:type="dxa"/>
              <w:left w:w="120" w:type="dxa"/>
              <w:right w:w="120" w:type="dxa"/>
            </w:tcMar>
          </w:tcPr>
          <w:p>
            <w:r>
              <w:rPr>
                <w:rFonts w:ascii="Calibri" w:hAnsi="Calibri"/>
                <w:b/>
                <w:color w:val="10B981"/>
                <w:sz w:val="18"/>
              </w:rPr>
              <w:t>0.12° (En Yüksek Dayanıklılık)</w:t>
            </w:r>
          </w:p>
        </w:tc>
        <w:tc>
          <w:tcPr>
            <w:tcW w:type="dxa" w:w="2340"/>
            <w:shd w:fill="FFFFFF"/>
            <w:tcMar>
              <w:top w:w="90" w:type="dxa"/>
              <w:bottom w:w="90" w:type="dxa"/>
              <w:left w:w="120" w:type="dxa"/>
              <w:right w:w="120" w:type="dxa"/>
            </w:tcMar>
          </w:tcPr>
          <w:p>
            <w:r>
              <w:rPr>
                <w:rFonts w:ascii="Calibri" w:hAnsi="Calibri"/>
                <w:color w:val="1E293B"/>
                <w:sz w:val="18"/>
              </w:rPr>
              <w:t>0.20°</w:t>
            </w:r>
          </w:p>
        </w:tc>
      </w:tr>
      <w:tr>
        <w:tc>
          <w:tcPr>
            <w:tcW w:type="dxa" w:w="2340"/>
            <w:shd w:fill="F8FAFC"/>
            <w:tcMar>
              <w:top w:w="90" w:type="dxa"/>
              <w:bottom w:w="90" w:type="dxa"/>
              <w:left w:w="120" w:type="dxa"/>
              <w:right w:w="120" w:type="dxa"/>
            </w:tcMar>
          </w:tcPr>
          <w:p>
            <w:r>
              <w:rPr>
                <w:rFonts w:ascii="Calibri" w:hAnsi="Calibri"/>
                <w:color w:val="1E293B"/>
                <w:sz w:val="18"/>
              </w:rPr>
              <w:t>İniş Anı Dikey Temas Hızı (Vz)</w:t>
            </w:r>
          </w:p>
        </w:tc>
        <w:tc>
          <w:tcPr>
            <w:tcW w:type="dxa" w:w="2340"/>
            <w:shd w:fill="F8FAFC"/>
            <w:tcMar>
              <w:top w:w="90" w:type="dxa"/>
              <w:bottom w:w="90" w:type="dxa"/>
              <w:left w:w="120" w:type="dxa"/>
              <w:right w:w="120" w:type="dxa"/>
            </w:tcMar>
          </w:tcPr>
          <w:p>
            <w:r>
              <w:rPr>
                <w:rFonts w:ascii="Calibri" w:hAnsi="Calibri"/>
                <w:color w:val="1E293B"/>
                <w:sz w:val="18"/>
              </w:rPr>
              <w:t>-1.12 m/s</w:t>
            </w:r>
          </w:p>
        </w:tc>
        <w:tc>
          <w:tcPr>
            <w:tcW w:type="dxa" w:w="2340"/>
            <w:shd w:fill="F8FAFC"/>
            <w:tcMar>
              <w:top w:w="90" w:type="dxa"/>
              <w:bottom w:w="90" w:type="dxa"/>
              <w:left w:w="120" w:type="dxa"/>
              <w:right w:w="120" w:type="dxa"/>
            </w:tcMar>
          </w:tcPr>
          <w:p>
            <w:r>
              <w:rPr>
                <w:rFonts w:ascii="Calibri" w:hAnsi="Calibri"/>
                <w:color w:val="1E293B"/>
                <w:sz w:val="18"/>
              </w:rPr>
              <w:t>-1.12 m/s</w:t>
            </w:r>
          </w:p>
        </w:tc>
        <w:tc>
          <w:tcPr>
            <w:tcW w:type="dxa" w:w="2340"/>
            <w:shd w:fill="F8FAFC"/>
            <w:tcMar>
              <w:top w:w="90" w:type="dxa"/>
              <w:bottom w:w="90" w:type="dxa"/>
              <w:left w:w="120" w:type="dxa"/>
              <w:right w:w="120" w:type="dxa"/>
            </w:tcMar>
          </w:tcPr>
          <w:p>
            <w:r>
              <w:rPr>
                <w:rFonts w:ascii="Calibri" w:hAnsi="Calibri"/>
                <w:color w:val="1E293B"/>
                <w:sz w:val="18"/>
              </w:rPr>
              <w:t>-1.12 m/s</w:t>
            </w:r>
          </w:p>
        </w:tc>
      </w:tr>
      <w:tr>
        <w:tc>
          <w:tcPr>
            <w:tcW w:type="dxa" w:w="2340"/>
            <w:shd w:fill="FFFFFF"/>
            <w:tcMar>
              <w:top w:w="90" w:type="dxa"/>
              <w:bottom w:w="90" w:type="dxa"/>
              <w:left w:w="120" w:type="dxa"/>
              <w:right w:w="120" w:type="dxa"/>
            </w:tcMar>
          </w:tcPr>
          <w:p>
            <w:r>
              <w:rPr>
                <w:rFonts w:ascii="Calibri" w:hAnsi="Calibri"/>
                <w:color w:val="1E293B"/>
                <w:sz w:val="18"/>
              </w:rPr>
              <w:t>Kazanılan Kümülatif Dopamin</w:t>
            </w:r>
          </w:p>
        </w:tc>
        <w:tc>
          <w:tcPr>
            <w:tcW w:type="dxa" w:w="2340"/>
            <w:shd w:fill="FFFFFF"/>
            <w:tcMar>
              <w:top w:w="90" w:type="dxa"/>
              <w:bottom w:w="90" w:type="dxa"/>
              <w:left w:w="120" w:type="dxa"/>
              <w:right w:w="120" w:type="dxa"/>
            </w:tcMar>
          </w:tcPr>
          <w:p>
            <w:r>
              <w:rPr>
                <w:rFonts w:ascii="Calibri" w:hAnsi="Calibri"/>
                <w:color w:val="1E293B"/>
                <w:sz w:val="18"/>
              </w:rPr>
              <w:t>506.3 DA</w:t>
            </w:r>
          </w:p>
        </w:tc>
        <w:tc>
          <w:tcPr>
            <w:tcW w:type="dxa" w:w="2340"/>
            <w:shd w:fill="FFFFFF"/>
            <w:tcMar>
              <w:top w:w="90" w:type="dxa"/>
              <w:bottom w:w="90" w:type="dxa"/>
              <w:left w:w="120" w:type="dxa"/>
              <w:right w:w="120" w:type="dxa"/>
            </w:tcMar>
          </w:tcPr>
          <w:p>
            <w:r>
              <w:rPr>
                <w:rFonts w:ascii="Calibri" w:hAnsi="Calibri"/>
                <w:b/>
                <w:color w:val="10B981"/>
                <w:sz w:val="18"/>
              </w:rPr>
              <w:t>508.7 DA (En Yüksek Ödül)</w:t>
            </w:r>
          </w:p>
        </w:tc>
        <w:tc>
          <w:tcPr>
            <w:tcW w:type="dxa" w:w="2340"/>
            <w:shd w:fill="FFFFFF"/>
            <w:tcMar>
              <w:top w:w="90" w:type="dxa"/>
              <w:bottom w:w="90" w:type="dxa"/>
              <w:left w:w="120" w:type="dxa"/>
              <w:right w:w="120" w:type="dxa"/>
            </w:tcMar>
          </w:tcPr>
          <w:p>
            <w:r>
              <w:rPr>
                <w:rFonts w:ascii="Calibri" w:hAnsi="Calibri"/>
                <w:color w:val="1E293B"/>
                <w:sz w:val="18"/>
              </w:rPr>
              <w:t>495.2 DA</w:t>
            </w:r>
          </w:p>
        </w:tc>
      </w:tr>
      <w:tr>
        <w:tc>
          <w:tcPr>
            <w:tcW w:type="dxa" w:w="2340"/>
            <w:shd w:fill="F8FAFC"/>
            <w:tcMar>
              <w:top w:w="90" w:type="dxa"/>
              <w:bottom w:w="90" w:type="dxa"/>
              <w:left w:w="120" w:type="dxa"/>
              <w:right w:w="120" w:type="dxa"/>
            </w:tcMar>
          </w:tcPr>
          <w:p>
            <w:r>
              <w:rPr>
                <w:rFonts w:ascii="Calibri" w:hAnsi="Calibri"/>
                <w:color w:val="1E293B"/>
                <w:sz w:val="18"/>
              </w:rPr>
              <w:t>Tüketilen Kontrol Enerjisi</w:t>
            </w:r>
          </w:p>
        </w:tc>
        <w:tc>
          <w:tcPr>
            <w:tcW w:type="dxa" w:w="2340"/>
            <w:shd w:fill="F8FAFC"/>
            <w:tcMar>
              <w:top w:w="90" w:type="dxa"/>
              <w:bottom w:w="90" w:type="dxa"/>
              <w:left w:w="120" w:type="dxa"/>
              <w:right w:w="120" w:type="dxa"/>
            </w:tcMar>
          </w:tcPr>
          <w:p>
            <w:r>
              <w:rPr>
                <w:rFonts w:ascii="Calibri" w:hAnsi="Calibri"/>
                <w:color w:val="1E293B"/>
                <w:sz w:val="18"/>
              </w:rPr>
              <w:t>199.1 kJ</w:t>
            </w:r>
          </w:p>
        </w:tc>
        <w:tc>
          <w:tcPr>
            <w:tcW w:type="dxa" w:w="2340"/>
            <w:shd w:fill="F8FAFC"/>
            <w:tcMar>
              <w:top w:w="90" w:type="dxa"/>
              <w:bottom w:w="90" w:type="dxa"/>
              <w:left w:w="120" w:type="dxa"/>
              <w:right w:w="120" w:type="dxa"/>
            </w:tcMar>
          </w:tcPr>
          <w:p>
            <w:r>
              <w:rPr>
                <w:rFonts w:ascii="Calibri" w:hAnsi="Calibri"/>
                <w:b/>
                <w:color w:val="10B981"/>
                <w:sz w:val="18"/>
              </w:rPr>
              <w:t>198.8 kJ (En Düşük Tüketim)</w:t>
            </w:r>
          </w:p>
        </w:tc>
        <w:tc>
          <w:tcPr>
            <w:tcW w:type="dxa" w:w="2340"/>
            <w:shd w:fill="F8FAFC"/>
            <w:tcMar>
              <w:top w:w="90" w:type="dxa"/>
              <w:bottom w:w="90" w:type="dxa"/>
              <w:left w:w="120" w:type="dxa"/>
              <w:right w:w="120" w:type="dxa"/>
            </w:tcMar>
          </w:tcPr>
          <w:p>
            <w:r>
              <w:rPr>
                <w:rFonts w:ascii="Calibri" w:hAnsi="Calibri"/>
                <w:color w:val="1E293B"/>
                <w:sz w:val="18"/>
              </w:rPr>
              <w:t>199.3 kJ</w:t>
            </w:r>
          </w:p>
        </w:tc>
      </w:tr>
      <w:tr>
        <w:tc>
          <w:tcPr>
            <w:tcW w:type="dxa" w:w="2340"/>
            <w:shd w:fill="FFFFFF"/>
            <w:tcMar>
              <w:top w:w="90" w:type="dxa"/>
              <w:bottom w:w="90" w:type="dxa"/>
              <w:left w:w="120" w:type="dxa"/>
              <w:right w:w="120" w:type="dxa"/>
            </w:tcMar>
          </w:tcPr>
          <w:p>
            <w:r>
              <w:rPr>
                <w:rFonts w:ascii="Calibri" w:hAnsi="Calibri"/>
                <w:color w:val="1E293B"/>
                <w:sz w:val="18"/>
              </w:rPr>
              <w:t>Dinamik Davranış Karakteri</w:t>
            </w:r>
          </w:p>
        </w:tc>
        <w:tc>
          <w:tcPr>
            <w:tcW w:type="dxa" w:w="2340"/>
            <w:shd w:fill="FFFFFF"/>
            <w:tcMar>
              <w:top w:w="90" w:type="dxa"/>
              <w:bottom w:w="90" w:type="dxa"/>
              <w:left w:w="120" w:type="dxa"/>
              <w:right w:w="120" w:type="dxa"/>
            </w:tcMar>
          </w:tcPr>
          <w:p>
            <w:r>
              <w:rPr>
                <w:rFonts w:ascii="Calibri" w:hAnsi="Calibri"/>
                <w:color w:val="1E293B"/>
                <w:sz w:val="18"/>
              </w:rPr>
              <w:t>Çapraz bacak koordinasyonu</w:t>
            </w:r>
          </w:p>
        </w:tc>
        <w:tc>
          <w:tcPr>
            <w:tcW w:type="dxa" w:w="2340"/>
            <w:shd w:fill="FFFFFF"/>
            <w:tcMar>
              <w:top w:w="90" w:type="dxa"/>
              <w:bottom w:w="90" w:type="dxa"/>
              <w:left w:w="120" w:type="dxa"/>
              <w:right w:w="120" w:type="dxa"/>
            </w:tcMar>
          </w:tcPr>
          <w:p>
            <w:r>
              <w:rPr>
                <w:rFonts w:ascii="Calibri" w:hAnsi="Calibri"/>
                <w:color w:val="1E293B"/>
                <w:sz w:val="18"/>
              </w:rPr>
              <w:t>Hızlı aerodinamik kilitlenme</w:t>
            </w:r>
          </w:p>
        </w:tc>
        <w:tc>
          <w:tcPr>
            <w:tcW w:type="dxa" w:w="2340"/>
            <w:shd w:fill="FFFFFF"/>
            <w:tcMar>
              <w:top w:w="90" w:type="dxa"/>
              <w:bottom w:w="90" w:type="dxa"/>
              <w:left w:w="120" w:type="dxa"/>
              <w:right w:w="120" w:type="dxa"/>
            </w:tcMar>
          </w:tcPr>
          <w:p>
            <w:r>
              <w:rPr>
                <w:rFonts w:ascii="Calibri" w:hAnsi="Calibri"/>
                <w:color w:val="1E293B"/>
                <w:sz w:val="18"/>
              </w:rPr>
              <w:t>Salınımsız yumuşak sönümleme</w:t>
            </w:r>
          </w:p>
        </w:tc>
      </w:tr>
      <w:tr>
        <w:tc>
          <w:tcPr>
            <w:tcW w:type="dxa" w:w="2340"/>
            <w:shd w:fill="F8FAFC"/>
            <w:tcMar>
              <w:top w:w="90" w:type="dxa"/>
              <w:bottom w:w="90" w:type="dxa"/>
              <w:left w:w="120" w:type="dxa"/>
              <w:right w:w="120" w:type="dxa"/>
            </w:tcMar>
          </w:tcPr>
          <w:p>
            <w:r>
              <w:rPr>
                <w:rFonts w:ascii="Calibri" w:hAnsi="Calibri"/>
                <w:color w:val="1E293B"/>
                <w:sz w:val="18"/>
              </w:rPr>
              <w:t>Görev Başarı Onayı</w:t>
            </w:r>
          </w:p>
        </w:tc>
        <w:tc>
          <w:tcPr>
            <w:tcW w:type="dxa" w:w="2340"/>
            <w:shd w:fill="F8FAFC"/>
            <w:tcMar>
              <w:top w:w="90" w:type="dxa"/>
              <w:bottom w:w="90" w:type="dxa"/>
              <w:left w:w="120" w:type="dxa"/>
              <w:right w:w="120" w:type="dxa"/>
            </w:tcMar>
          </w:tcPr>
          <w:p>
            <w:r>
              <w:rPr>
                <w:rFonts w:ascii="Calibri" w:hAnsi="Calibri"/>
                <w:color w:val="1E293B"/>
                <w:sz w:val="18"/>
              </w:rPr>
              <w:t>BAŞARILI (Soft Landing)</w:t>
            </w:r>
          </w:p>
        </w:tc>
        <w:tc>
          <w:tcPr>
            <w:tcW w:type="dxa" w:w="2340"/>
            <w:shd w:fill="F8FAFC"/>
            <w:tcMar>
              <w:top w:w="90" w:type="dxa"/>
              <w:bottom w:w="90" w:type="dxa"/>
              <w:left w:w="120" w:type="dxa"/>
              <w:right w:w="120" w:type="dxa"/>
            </w:tcMar>
          </w:tcPr>
          <w:p>
            <w:r>
              <w:rPr>
                <w:rFonts w:ascii="Calibri" w:hAnsi="Calibri"/>
                <w:color w:val="1E293B"/>
                <w:sz w:val="18"/>
              </w:rPr>
              <w:t>MÜKEMMEL (Precision Landing)</w:t>
            </w:r>
          </w:p>
        </w:tc>
        <w:tc>
          <w:tcPr>
            <w:tcW w:type="dxa" w:w="2340"/>
            <w:shd w:fill="F8FAFC"/>
            <w:tcMar>
              <w:top w:w="90" w:type="dxa"/>
              <w:bottom w:w="90" w:type="dxa"/>
              <w:left w:w="120" w:type="dxa"/>
              <w:right w:w="120" w:type="dxa"/>
            </w:tcMar>
          </w:tcPr>
          <w:p>
            <w:r>
              <w:rPr>
                <w:rFonts w:ascii="Calibri" w:hAnsi="Calibri"/>
                <w:color w:val="1E293B"/>
                <w:sz w:val="18"/>
              </w:rPr>
              <w:t>BAŞARILI (Smooth Landing)</w:t>
            </w:r>
          </w:p>
        </w:tc>
      </w:tr>
    </w:tbl>
    <w:p>
      <w:pPr>
        <w:spacing w:after="280"/>
      </w:pPr>
    </w:p>
    <w:p>
      <w:pPr>
        <w:pStyle w:val="Heading1"/>
      </w:pPr>
      <w:r>
        <w:t>7. Bilimsel Grafiklerin Detaylı Analizi (8 Şekil)</w:t>
      </w:r>
    </w:p>
    <w:p>
      <w:r>
        <w:t>Simülasyonlardan elde edilen 8 yüksek çözünürlüklü bilimsel analiz şekli aşağıda açıklamalarıyla sunulmuştur:</w:t>
      </w:r>
    </w:p>
    <w:p>
      <w:pPr>
        <w:spacing w:before="240" w:after="80"/>
        <w:jc w:val="center"/>
      </w:pPr>
    </w:p>
    <w:p>
      <w:r>
        <w:drawing>
          <wp:inline xmlns:a="http://schemas.openxmlformats.org/drawingml/2006/main" xmlns:pic="http://schemas.openxmlformats.org/drawingml/2006/picture">
            <wp:extent cx="5669280" cy="5153891"/>
            <wp:docPr id="1" name="Picture 1"/>
            <wp:cNvGraphicFramePr>
              <a:graphicFrameLocks noChangeAspect="1"/>
            </wp:cNvGraphicFramePr>
            <a:graphic>
              <a:graphicData uri="http://schemas.openxmlformats.org/drawingml/2006/picture">
                <pic:pic>
                  <pic:nvPicPr>
                    <pic:cNvPr id="0" name="fig1_3axis_attitude_comparison.png"/>
                    <pic:cNvPicPr/>
                  </pic:nvPicPr>
                  <pic:blipFill>
                    <a:blip r:embed="rId9"/>
                    <a:stretch>
                      <a:fillRect/>
                    </a:stretch>
                  </pic:blipFill>
                  <pic:spPr>
                    <a:xfrm>
                      <a:off x="0" y="0"/>
                      <a:ext cx="5669280" cy="5153891"/>
                    </a:xfrm>
                    <a:prstGeom prst="rect"/>
                  </pic:spPr>
                </pic:pic>
              </a:graphicData>
            </a:graphic>
          </wp:inline>
        </w:drawing>
      </w:r>
    </w:p>
    <w:p>
      <w:pPr>
        <w:spacing w:after="320"/>
        <w:jc w:val="center"/>
      </w:pPr>
      <w:r>
        <w:rPr>
          <w:rFonts w:ascii="Calibri" w:hAnsi="Calibri"/>
          <w:b/>
          <w:color w:val="0F172A"/>
          <w:sz w:val="20"/>
        </w:rPr>
        <w:t>Şekil 1: 3 Eksen Açılarının Sıfırlanması (Roll, Pitch, Yaw -&gt; 0°)</w:t>
        <w:br/>
      </w:r>
      <w:r>
        <w:rPr>
          <w:rFonts w:ascii="Calibri" w:hAnsi="Calibri"/>
          <w:color w:val="64748B"/>
          <w:sz w:val="18"/>
        </w:rPr>
        <w:t>Roll, Pitch ve Yaw açılarının zaman içindeki değişimi gösterilmektedir. FlyBody kanat torkları sayesinde 1.0 saniye içinde açıyı 0°'ye getirirken, MusculoskeletalFly aşma yapmadan son derece yumuşak bir doğrultma eğrisi sergilemektedir.</w:t>
      </w:r>
    </w:p>
    <w:p>
      <w:pPr>
        <w:spacing w:before="240" w:after="80"/>
        <w:jc w:val="center"/>
      </w:pPr>
    </w:p>
    <w:p>
      <w:r>
        <w:drawing>
          <wp:inline xmlns:a="http://schemas.openxmlformats.org/drawingml/2006/main" xmlns:pic="http://schemas.openxmlformats.org/drawingml/2006/picture">
            <wp:extent cx="5669280" cy="5153891"/>
            <wp:docPr id="2" name="Picture 2"/>
            <wp:cNvGraphicFramePr>
              <a:graphicFrameLocks noChangeAspect="1"/>
            </wp:cNvGraphicFramePr>
            <a:graphic>
              <a:graphicData uri="http://schemas.openxmlformats.org/drawingml/2006/picture">
                <pic:pic>
                  <pic:nvPicPr>
                    <pic:cNvPr id="0" name="fig2_dopamine_neurodynamics.png"/>
                    <pic:cNvPicPr/>
                  </pic:nvPicPr>
                  <pic:blipFill>
                    <a:blip r:embed="rId10"/>
                    <a:stretch>
                      <a:fillRect/>
                    </a:stretch>
                  </pic:blipFill>
                  <pic:spPr>
                    <a:xfrm>
                      <a:off x="0" y="0"/>
                      <a:ext cx="5669280" cy="5153891"/>
                    </a:xfrm>
                    <a:prstGeom prst="rect"/>
                  </pic:spPr>
                </pic:pic>
              </a:graphicData>
            </a:graphic>
          </wp:inline>
        </w:drawing>
      </w:r>
    </w:p>
    <w:p>
      <w:pPr>
        <w:spacing w:after="320"/>
        <w:jc w:val="center"/>
      </w:pPr>
      <w:r>
        <w:rPr>
          <w:rFonts w:ascii="Calibri" w:hAnsi="Calibri"/>
          <w:b/>
          <w:color w:val="0F172A"/>
          <w:sz w:val="20"/>
        </w:rPr>
        <w:t>Şekil 2: Dopamin Nörodinamiği (RPE, Tonik ve Kümülatif)</w:t>
        <w:br/>
      </w:r>
      <w:r>
        <w:rPr>
          <w:rFonts w:ascii="Calibri" w:hAnsi="Calibri"/>
          <w:color w:val="64748B"/>
          <w:sz w:val="18"/>
        </w:rPr>
        <w:t>İlk andaki açı sapmasında -1.5 DA seviyesine çöken fazik dopamin (RPE), uydunun açıları 0°'ye kilitlendikçe hızla +2.0 tavan seviyesine ulaşmıştır. Tonik bazal yoğunluk kalıcı öğrenmeyi pekiştirmiştir.</w:t>
      </w:r>
    </w:p>
    <w:p>
      <w:pPr>
        <w:spacing w:before="240" w:after="80"/>
        <w:jc w:val="center"/>
      </w:pPr>
    </w:p>
    <w:p>
      <w:r>
        <w:drawing>
          <wp:inline xmlns:a="http://schemas.openxmlformats.org/drawingml/2006/main" xmlns:pic="http://schemas.openxmlformats.org/drawingml/2006/picture">
            <wp:extent cx="5669280" cy="1771650"/>
            <wp:docPr id="3" name="Picture 3"/>
            <wp:cNvGraphicFramePr>
              <a:graphicFrameLocks noChangeAspect="1"/>
            </wp:cNvGraphicFramePr>
            <a:graphic>
              <a:graphicData uri="http://schemas.openxmlformats.org/drawingml/2006/picture">
                <pic:pic>
                  <pic:nvPicPr>
                    <pic:cNvPr id="0" name="fig3_phase_space_portraits.png"/>
                    <pic:cNvPicPr/>
                  </pic:nvPicPr>
                  <pic:blipFill>
                    <a:blip r:embed="rId11"/>
                    <a:stretch>
                      <a:fillRect/>
                    </a:stretch>
                  </pic:blipFill>
                  <pic:spPr>
                    <a:xfrm>
                      <a:off x="0" y="0"/>
                      <a:ext cx="5669280" cy="1771650"/>
                    </a:xfrm>
                    <a:prstGeom prst="rect"/>
                  </pic:spPr>
                </pic:pic>
              </a:graphicData>
            </a:graphic>
          </wp:inline>
        </w:drawing>
      </w:r>
    </w:p>
    <w:p>
      <w:pPr>
        <w:spacing w:after="320"/>
        <w:jc w:val="center"/>
      </w:pPr>
      <w:r>
        <w:rPr>
          <w:rFonts w:ascii="Calibri" w:hAnsi="Calibri"/>
          <w:b/>
          <w:color w:val="0F172A"/>
          <w:sz w:val="20"/>
        </w:rPr>
        <w:t>Şekil 3: Faz Uzayı Çekicileri (Phase Space Attractor Portraits)</w:t>
        <w:br/>
      </w:r>
      <w:r>
        <w:rPr>
          <w:rFonts w:ascii="Calibri" w:hAnsi="Calibri"/>
          <w:color w:val="64748B"/>
          <w:sz w:val="18"/>
        </w:rPr>
        <w:t>(Açı vs Açısal Hız) durum uzayı portresi. Başlangıçtaki siyah noktadan başlayan durum eğrilerinin, kırmızı yıldız ile gösterilen (0, 0) kararlı çekici noktasına kusursuz spiral yakınsaması görülmektedir.</w:t>
      </w:r>
    </w:p>
    <w:p>
      <w:pPr>
        <w:spacing w:before="240" w:after="80"/>
        <w:jc w:val="center"/>
      </w:pPr>
    </w:p>
    <w:p>
      <w:r>
        <w:drawing>
          <wp:inline xmlns:a="http://schemas.openxmlformats.org/drawingml/2006/main" xmlns:pic="http://schemas.openxmlformats.org/drawingml/2006/picture">
            <wp:extent cx="5669280" cy="5196840"/>
            <wp:docPr id="4" name="Picture 4"/>
            <wp:cNvGraphicFramePr>
              <a:graphicFrameLocks noChangeAspect="1"/>
            </wp:cNvGraphicFramePr>
            <a:graphic>
              <a:graphicData uri="http://schemas.openxmlformats.org/drawingml/2006/picture">
                <pic:pic>
                  <pic:nvPicPr>
                    <pic:cNvPr id="0" name="fig4_fly_biomechanics_telemetry.png"/>
                    <pic:cNvPicPr/>
                  </pic:nvPicPr>
                  <pic:blipFill>
                    <a:blip r:embed="rId12"/>
                    <a:stretch>
                      <a:fillRect/>
                    </a:stretch>
                  </pic:blipFill>
                  <pic:spPr>
                    <a:xfrm>
                      <a:off x="0" y="0"/>
                      <a:ext cx="5669280" cy="5196840"/>
                    </a:xfrm>
                    <a:prstGeom prst="rect"/>
                  </pic:spPr>
                </pic:pic>
              </a:graphicData>
            </a:graphic>
          </wp:inline>
        </w:drawing>
      </w:r>
    </w:p>
    <w:p>
      <w:pPr>
        <w:spacing w:after="320"/>
        <w:jc w:val="center"/>
      </w:pPr>
      <w:r>
        <w:rPr>
          <w:rFonts w:ascii="Calibri" w:hAnsi="Calibri"/>
          <w:b/>
          <w:color w:val="0F172A"/>
          <w:sz w:val="20"/>
        </w:rPr>
        <w:t>Şekil 4: Sineklerin İç Biyomekanik Aktüasyon Sinyalleri</w:t>
        <w:br/>
      </w:r>
      <w:r>
        <w:rPr>
          <w:rFonts w:ascii="Calibri" w:hAnsi="Calibri"/>
          <w:color w:val="64748B"/>
          <w:sz w:val="18"/>
        </w:rPr>
        <w:t>Sineklerin ürettiği biyolojik sinyaller: NeuroMechFly'da sol ve sağ bacak eklemlerinin asimetrik açılması (62° vs 40°), FlyBody'de kanat genlik farkları ve MusculoskeletalFly'da 15 Hill kasının aktivasyon ısı haritası.</w:t>
      </w:r>
    </w:p>
    <w:p>
      <w:pPr>
        <w:spacing w:before="240" w:after="80"/>
        <w:jc w:val="center"/>
      </w:pPr>
    </w:p>
    <w:p>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fig5_comprehensive_benchmark.png"/>
                    <pic:cNvPicPr/>
                  </pic:nvPicPr>
                  <pic:blipFill>
                    <a:blip r:embed="rId13"/>
                    <a:stretch>
                      <a:fillRect/>
                    </a:stretch>
                  </pic:blipFill>
                  <pic:spPr>
                    <a:xfrm>
                      <a:off x="0" y="0"/>
                      <a:ext cx="5669280" cy="2429691"/>
                    </a:xfrm>
                    <a:prstGeom prst="rect"/>
                  </pic:spPr>
                </pic:pic>
              </a:graphicData>
            </a:graphic>
          </wp:inline>
        </w:drawing>
      </w:r>
    </w:p>
    <w:p>
      <w:pPr>
        <w:spacing w:after="320"/>
        <w:jc w:val="center"/>
      </w:pPr>
      <w:r>
        <w:rPr>
          <w:rFonts w:ascii="Calibri" w:hAnsi="Calibri"/>
          <w:b/>
          <w:color w:val="0F172A"/>
          <w:sz w:val="20"/>
        </w:rPr>
        <w:t>Şekil 5: 3 Sinek Modelinin Kapsamlı Karşılaştırmalı Skor Kartı</w:t>
        <w:br/>
      </w:r>
      <w:r>
        <w:rPr>
          <w:rFonts w:ascii="Calibri" w:hAnsi="Calibri"/>
          <w:color w:val="64748B"/>
          <w:sz w:val="18"/>
        </w:rPr>
        <w:t>İniş doğruluğu, temas hızı yumuşatması, kazanılan kümülatif dopamin ve tüketilen kontrol enerjisi metriklerinin karşılaştırmalı sütun grafikleri.</w:t>
      </w:r>
    </w:p>
    <w:p>
      <w:pPr>
        <w:spacing w:before="240" w:after="80"/>
        <w:jc w:val="center"/>
      </w:pPr>
    </w:p>
    <w:p>
      <w:r>
        <w:drawing>
          <wp:inline xmlns:a="http://schemas.openxmlformats.org/drawingml/2006/main" xmlns:pic="http://schemas.openxmlformats.org/drawingml/2006/picture">
            <wp:extent cx="5669280" cy="6184669"/>
            <wp:docPr id="6" name="Picture 6"/>
            <wp:cNvGraphicFramePr>
              <a:graphicFrameLocks noChangeAspect="1"/>
            </wp:cNvGraphicFramePr>
            <a:graphic>
              <a:graphicData uri="http://schemas.openxmlformats.org/drawingml/2006/picture">
                <pic:pic>
                  <pic:nvPicPr>
                    <pic:cNvPr id="0" name="fig6_wind_disturbance_response.png"/>
                    <pic:cNvPicPr/>
                  </pic:nvPicPr>
                  <pic:blipFill>
                    <a:blip r:embed="rId14"/>
                    <a:stretch>
                      <a:fillRect/>
                    </a:stretch>
                  </pic:blipFill>
                  <pic:spPr>
                    <a:xfrm>
                      <a:off x="0" y="0"/>
                      <a:ext cx="5669280" cy="6184669"/>
                    </a:xfrm>
                    <a:prstGeom prst="rect"/>
                  </pic:spPr>
                </pic:pic>
              </a:graphicData>
            </a:graphic>
          </wp:inline>
        </w:drawing>
      </w:r>
    </w:p>
    <w:p>
      <w:pPr>
        <w:spacing w:after="320"/>
        <w:jc w:val="center"/>
      </w:pPr>
      <w:r>
        <w:rPr>
          <w:rFonts w:ascii="Calibri" w:hAnsi="Calibri"/>
          <w:b/>
          <w:color w:val="0F172A"/>
          <w:sz w:val="20"/>
        </w:rPr>
        <w:t>Şekil 6: 18N Rüzgar Darbeleri Altında 3 Eksen Tepkisi</w:t>
        <w:br/>
      </w:r>
      <w:r>
        <w:rPr>
          <w:rFonts w:ascii="Calibri" w:hAnsi="Calibri"/>
          <w:color w:val="64748B"/>
          <w:sz w:val="18"/>
        </w:rPr>
        <w:t>Uygulanan 18 Newton'luk yan rüzgar profili ve sineklerin uydunun kafasını rüzgara karşı dik tutma refleksleri. Modellerin hiçbiri takla atmamış ve devrilmemiştir.</w:t>
      </w:r>
    </w:p>
    <w:p>
      <w:pPr>
        <w:spacing w:before="240" w:after="80"/>
        <w:jc w:val="center"/>
      </w:pPr>
    </w:p>
    <w:p>
      <w:r>
        <w:drawing>
          <wp:inline xmlns:a="http://schemas.openxmlformats.org/drawingml/2006/main" xmlns:pic="http://schemas.openxmlformats.org/drawingml/2006/picture">
            <wp:extent cx="5669280" cy="2429691"/>
            <wp:docPr id="7" name="Picture 7"/>
            <wp:cNvGraphicFramePr>
              <a:graphicFrameLocks noChangeAspect="1"/>
            </wp:cNvGraphicFramePr>
            <a:graphic>
              <a:graphicData uri="http://schemas.openxmlformats.org/drawingml/2006/picture">
                <pic:pic>
                  <pic:nvPicPr>
                    <pic:cNvPr id="0" name="fig7_3d_descent_trajectories_wind.png"/>
                    <pic:cNvPicPr/>
                  </pic:nvPicPr>
                  <pic:blipFill>
                    <a:blip r:embed="rId15"/>
                    <a:stretch>
                      <a:fillRect/>
                    </a:stretch>
                  </pic:blipFill>
                  <pic:spPr>
                    <a:xfrm>
                      <a:off x="0" y="0"/>
                      <a:ext cx="5669280" cy="2429691"/>
                    </a:xfrm>
                    <a:prstGeom prst="rect"/>
                  </pic:spPr>
                </pic:pic>
              </a:graphicData>
            </a:graphic>
          </wp:inline>
        </w:drawing>
      </w:r>
    </w:p>
    <w:p>
      <w:pPr>
        <w:spacing w:after="320"/>
        <w:jc w:val="center"/>
      </w:pPr>
      <w:r>
        <w:rPr>
          <w:rFonts w:ascii="Calibri" w:hAnsi="Calibri"/>
          <w:b/>
          <w:color w:val="0F172A"/>
          <w:sz w:val="20"/>
        </w:rPr>
        <w:t>Şekil 7: 3D Uzaysal Rota &amp; İniş Pisti Sürüklenme Dispersiyonu</w:t>
        <w:br/>
      </w:r>
      <w:r>
        <w:rPr>
          <w:rFonts w:ascii="Calibri" w:hAnsi="Calibri"/>
          <w:color w:val="64748B"/>
          <w:sz w:val="18"/>
        </w:rPr>
        <w:t>Rüzgar kuvveti nedeniyle uydunun 3D uzaydaki rotası ve 2.5 metre yarıçaplı dairesel iniş pisti üzerindeki temas noktası dağılımı (dispersiyon).</w:t>
      </w:r>
    </w:p>
    <w:p>
      <w:pPr>
        <w:spacing w:before="240" w:after="80"/>
        <w:jc w:val="center"/>
      </w:pPr>
    </w:p>
    <w:p>
      <w:r>
        <w:drawing>
          <wp:inline xmlns:a="http://schemas.openxmlformats.org/drawingml/2006/main" xmlns:pic="http://schemas.openxmlformats.org/drawingml/2006/picture">
            <wp:extent cx="5669280" cy="4123113"/>
            <wp:docPr id="8" name="Picture 8"/>
            <wp:cNvGraphicFramePr>
              <a:graphicFrameLocks noChangeAspect="1"/>
            </wp:cNvGraphicFramePr>
            <a:graphic>
              <a:graphicData uri="http://schemas.openxmlformats.org/drawingml/2006/picture">
                <pic:pic>
                  <pic:nvPicPr>
                    <pic:cNvPr id="0" name="fig8_dopamine_stress_recovery.png"/>
                    <pic:cNvPicPr/>
                  </pic:nvPicPr>
                  <pic:blipFill>
                    <a:blip r:embed="rId16"/>
                    <a:stretch>
                      <a:fillRect/>
                    </a:stretch>
                  </pic:blipFill>
                  <pic:spPr>
                    <a:xfrm>
                      <a:off x="0" y="0"/>
                      <a:ext cx="5669280" cy="4123113"/>
                    </a:xfrm>
                    <a:prstGeom prst="rect"/>
                  </pic:spPr>
                </pic:pic>
              </a:graphicData>
            </a:graphic>
          </wp:inline>
        </w:drawing>
      </w:r>
    </w:p>
    <w:p>
      <w:pPr>
        <w:spacing w:after="320"/>
        <w:jc w:val="center"/>
      </w:pPr>
      <w:r>
        <w:rPr>
          <w:rFonts w:ascii="Calibri" w:hAnsi="Calibri"/>
          <w:b/>
          <w:color w:val="0F172A"/>
          <w:sz w:val="20"/>
        </w:rPr>
        <w:t>Şekil 8: Fırtına Esnasında Dopaminerjik Şok ve Refleks Toparlanma</w:t>
        <w:br/>
      </w:r>
      <w:r>
        <w:rPr>
          <w:rFonts w:ascii="Calibri" w:hAnsi="Calibri"/>
          <w:color w:val="64748B"/>
          <w:sz w:val="18"/>
        </w:rPr>
        <w:t>Rüzgar darbesi vurduğu anda sinek beyninde yaşanan ani dopaminerjik baskılanma ve ardından motor refleksle yeniden toparlanma eğrileri.</w:t>
      </w:r>
    </w:p>
    <w:p>
      <w:pPr>
        <w:pStyle w:val="Heading1"/>
      </w:pPr>
      <w:r>
        <w:t>8. Sonuç ve Değerlendirme</w:t>
      </w:r>
    </w:p>
    <w:p>
      <w:r>
        <w:t>Bu araştırma, biyomimetik kontrolün ve nörokimyasal pekiştirmeli öğrenmenin uzay havacılığındaki en zorlu kontrol problemlerinden biri olan dikey roket inişinde başarıyla uygulanabileceğini kanıtlamıştır.</w:t>
        <w:br/>
        <w:br/>
        <w:t>• Aerodinamik Hız Üstünlüğü: Kanat ve karın serbestlik derecelerine sahip FlyBody modeli, milisaniyelik reflekslerle en düşük açı hatasını (0.02°) sağlamıştır.</w:t>
        <w:br/>
        <w:t>• Biyolojik Kas Kararlılığı: MusculoskeletalFly modeli, Hill tipi kasların doğal esnekliği sayesinde roket gövdesini sarsmadan en pürüzsüz inişi gerçekleştirmiştir.</w:t>
        <w:br/>
        <w:t>• Dopamin Odaklı Otonomi: Karmaşık matematiksel diferansiyel denklemler çözmek yerine, sineğin beynindeki dopamin seviyesini maksimize etme prensibi, uydunun hem sakin havada hem de 18 Newton'luk sert fırtınalarda devrilmeden dik inmesini sağlamıştır.</w:t>
        <w:br/>
        <w:br/>
        <w:t>Proje kapsamında geliştirilen tüm simülasyon kodları, MuJoCo MJCF modelleri ve etkileşimli web dashboard'u açık kaynak altyapısıyla araştırmacıların kullanımına hazırdır.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