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12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7F7F7F"/>
          <w:sz w:val="36"/>
          <w:szCs w:val="36"/>
        </w:rPr>
        <w:t xml:space="preserve">MANUAL TÉCNICO</w:t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000000"/>
          <w:sz w:val="44"/>
          <w:szCs w:val="44"/>
        </w:rPr>
        <w:t xml:space="preserve">NUEVAS FUNCIONALIDADES</w:t>
      </w:r>
    </w:p>
    <w:p>
      <w:pPr>
        <w:spacing w:after="1200"/>
        <w:jc w:val="right"/>
      </w:pPr>
      <w:r>
        <w:rPr>
          <w:rFonts w:ascii="Century Gothic" w:cs="Century Gothic" w:eastAsia="Century Gothic" w:hAnsi="Century Gothic"/>
          <w:color w:val="000000"/>
          <w:sz w:val="44"/>
          <w:szCs w:val="44"/>
        </w:rPr>
        <w:t xml:space="preserve">PARA ALDEBARAN WEB</w:t>
      </w:r>
    </w:p>
    <w:p>
      <w:pPr>
        <w:spacing w:after="0"/>
        <w:jc w:val="right"/>
      </w:pPr>
      <w:r>
        <w:rPr>
          <w:rFonts w:ascii="Century Gothic" w:cs="Century Gothic" w:eastAsia="Century Gothic" w:hAnsi="Century Gothic"/>
          <w:color w:val="000000"/>
          <w:sz w:val="30"/>
          <w:szCs w:val="30"/>
        </w:rPr>
        <w:t xml:space="preserve">Complemento Módulo de Consulta de Logs,</w:t>
      </w:r>
    </w:p>
    <w:p>
      <w:pPr>
        <w:spacing w:after="1600"/>
        <w:jc w:val="right"/>
      </w:pPr>
      <w:r>
        <w:rPr>
          <w:rFonts w:ascii="Century Gothic" w:cs="Century Gothic" w:eastAsia="Century Gothic" w:hAnsi="Century Gothic"/>
          <w:color w:val="000000"/>
          <w:sz w:val="30"/>
          <w:szCs w:val="30"/>
        </w:rPr>
        <w:t xml:space="preserve">Precio Bomba y Pedido Especial</w:t>
      </w:r>
    </w:p>
    <w:p>
      <w:pPr>
        <w:spacing w:after="0"/>
        <w:jc w:val="center"/>
      </w:pPr>
      <w:r>
        <w:rPr>
          <w:rFonts w:ascii="Century Gothic" w:cs="Century Gothic" w:eastAsia="Century Gothic" w:hAnsi="Century Gothic"/>
          <w:color w:val="7F7F7F"/>
          <w:sz w:val="32"/>
          <w:szCs w:val="32"/>
        </w:rPr>
        <w:t xml:space="preserve">Para</w:t>
      </w:r>
    </w:p>
    <w:p>
      <w:pPr>
        <w:spacing w:after="2000"/>
        <w:jc w:val="center"/>
      </w:pPr>
      <w:r>
        <w:rPr>
          <w:rFonts w:ascii="Century Gothic" w:cs="Century Gothic" w:eastAsia="Century Gothic" w:hAnsi="Century Gothic"/>
          <w:color w:val="000000"/>
          <w:sz w:val="40"/>
          <w:szCs w:val="40"/>
        </w:rPr>
        <w:t xml:space="preserve">PROMOS</w:t>
      </w:r>
    </w:p>
    <w:p>
      <w:pPr>
        <w:spacing w:after="0"/>
        <w:jc w:val="center"/>
      </w:pPr>
      <w:r>
        <w:rPr>
          <w:rFonts w:ascii="Century Gothic" w:cs="Century Gothic" w:eastAsia="Century Gothic" w:hAnsi="Century Gothic"/>
          <w:color w:val="000000"/>
          <w:sz w:val="20"/>
          <w:szCs w:val="20"/>
        </w:rPr>
        <w:t xml:space="preserve">Bogotá, octubre de 2026</w:t>
      </w:r>
    </w:p>
    <w:p>
      <w:r>
        <w:br w:type="page"/>
      </w:r>
    </w:p>
    <w:p>
      <w:pPr>
        <w:spacing w:after="12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ALCANCE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Documenta la solución técnica del requerimiento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Complemento del módulo de Consulta de Logs y Marca de Oferta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(rama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RQM-ComplementoLogs+SaleOff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): objetos de base de datos, componentes por capa, seguridad, despliegue, reversa y soporte.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ARQUITECTURA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La solución respeta la arquitectura existente de Aldebarán Web (Blazor Server + Radzen, .NET, Entity Framework Core 7, SQL Server):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Capa / proyecto</w:t>
            </w:r>
          </w:p>
        </w:tc>
        <w:tc>
          <w:tcPr>
            <w:tcW w:type="dxa" w:w="6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Aldebaran.Web</w:t>
            </w:r>
          </w:p>
        </w:tc>
        <w:tc>
          <w:tcPr>
            <w:tcW w:type="dxa" w:w="6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Pantallas Razor, view models de pantalla, menú (Shared/MainLayout.razor) y controladores de exportación. No conoce la capa de datos.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Aldebaran.Application.Services</w:t>
            </w:r>
          </w:p>
        </w:tc>
        <w:tc>
          <w:tcPr>
            <w:tcW w:type="dxa" w:w="6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Casos de uso: servicios, modelos por caso de uso, filtros tipados, validaciones y mapeo (AutoMapper, ApplicationServicesProfile).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Aldebaran.DataAccess</w:t>
            </w:r>
          </w:p>
        </w:tc>
        <w:tc>
          <w:tcPr>
            <w:tcW w:type="dxa" w:w="6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Entidades, configuración EF, AldebaranDbContext (TrackEntities) y triggers EF de inventario.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Aldebaran.DataAccess.Infraestructure</w:t>
            </w:r>
          </w:p>
        </w:tc>
        <w:tc>
          <w:tcPr>
            <w:tcW w:type="dxa" w:w="6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Repositorios. Los SP se llaman con StoredProcedureCommand (parámetros SqlParameter nombrados).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SQL Server</w:t>
            </w:r>
          </w:p>
        </w:tc>
        <w:tc>
          <w:tcPr>
            <w:tcW w:type="dxa" w:w="6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Tablas, vistas, SP, triggers y job de alarmas. Scripts en scripts\RQM Complemento Consulta de Logs.</w:t>
            </w:r>
          </w:p>
        </w:tc>
      </w:tr>
    </w:tbl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Criterios aplicados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Clean Architecture: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la UI solo llama servicios de Application; los modelos se definen por caso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SQL siempre parametrizado: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StoredProcedureCommand arma `EXEC SP @p = @p` con SqlParameter tipados; los parámetros nulos no se envían y el SP aplica su valor por defecto. Nunca se concatena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Filtros tipados: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cada reporte tocado recibe una clase de filtro (por ejemplo CustomerOrderReportFilter) en lugar de una cadena.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Codificación: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archivos nuevos o tocados en UTF-8 sin BOM con CRLF (el repositorio normaliza a LF; el checkout de Windows con autocrlf los deja en CRLF).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Filtros Sí/No/Todos: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RadzenCheckBox TriState TValue="bool?" (null = Todos).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Componentes compartidos sin modificar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(por ejemplo MultiReferencePicker).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BASE DE DATOS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Scripts de despliegue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Carpeta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Despliegue\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 Todos son re-ejecutables. El orden y las notas están 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LEEME - Orden de despliegue.txt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01 - Indices Log y Track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Columnas calculadas no persistidas (TEMPLATE_HASH, LEVEL_KEY, ENTITY_KEY_HASH) e índices IX_Logs_TimeStamp, IX_Logs_Template_TimeStamp, IX_track_Entity_Date, IX_track_Entity_Key.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02 - Ofuscar historico Track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Enmascara credenciales en el histórico de log.track (por lotes).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03 - Consulta visualizacion de alarmas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ALARM_VISUALIZATION_LOG_TYPES, VW_ALARM_LOG, VW_ALARM_LOG_VISUALIZATIONS, SP de consulta y roles nuevos.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04 - Alarmas inventario estandar y log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T3b/T19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INVENTORY_ALARM_LOG; SP_Set_Minimum_Quantity_Alarm, SP_Set_Out_Of_Stock_Alarm y triggers con @SOURCE; respaldo en RQM_LOGS_OBJECT_BACKUP.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05 - Job verificacion alarmas log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T3c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Pasos del job 'Verificacion Alarmas' registran sus inactivaciones (requiere permisos en msdb).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06 - Consulta log alarmas inventario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SP_GET_INVENTORY_ALARM_LOG.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07 / 08 / 09 - Track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T6/T6b/T6c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Catálogo de entidades, índice de objetos de negocio (LOG_TRACK_OBJECTS, trigger y carga histórica ~5 min por 1,2 M de movimientos), nombres de campo en español.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10 - Logs despachos y traslados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T10–T13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SP_GET_ORDER_DOCUMENT_LOG.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11 - Logs ordenes de compra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T14a/b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SP_GET_PURCHASE_ORDER_ADJUSTMENT_LOG y SP_GET_APPROVAL_RANGE_LOG.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12 - Log general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T15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SP_GET_GENERAL_LOG_GROUPS / OCCURRENCES / DETAIL / SOURCES.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13 - Log automata existencias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T15b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log.SP_INSERT_AUTOMATA_EXISTENCIAS_LOG (+ NLog.config del autómata).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14 - Marca precio bomba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T8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items.IS_BOMB_PRICE y columna IsBombPrice en SP_GET_MINIMUM_QUANTITY_ALARMS.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15 - Estado log ajustes OC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T18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Corrige el estado en PURCHASE_ORDER_ADJUSTMENT_LOG (con respaldo).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16 - Precio bomba en reportes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T20–T22b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Filtros de tres estados en SP de Artículos y referencias, Stock mínimo y Movimiento de referencia. Se despliega con la app.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17 - Pedido especial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T23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customer_orders.IS_SPECIAL_ORDER BIT NOT NULL DEFAULT 0 y nombre en Track.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18 - Pedido especial en reportes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T26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@IsSpecialOrder y columna IsSpecialOrder en 8 SP de reportes de pedidos. Se despliega con la app.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19 - Pedido especial en logs de despachos y traslados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T27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 IS_SPECIAL_ORDER en SP_GET_ORDER_DOCUMENT_LOG. Se despliega con la app.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20 - Consecutivos de referencia interna</w:t>
            </w:r>
          </w:p>
        </w:tc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E4 C1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INTERNAL_REFERENCE_CODES y INTERNAL_REFERENCE_CONSECUTIVES (CODE varchar(5); solo sugerencias disponibles), FN_INTERNAL_REFERENCE_CODE_REFERENCES, FN_INTERNAL_REFERENCE_USED_CONSECUTIVES, SP de no conformes, depuración, consulta y generación. Re-ejecutable; sobre la versión anterior (CODE varchar(6)) ajusta las columnas.</w:t>
            </w:r>
          </w:p>
        </w:tc>
      </w:tr>
    </w:tbl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Respaldo y reversa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Los SP existentes que se modifican se respaldan la primera vez 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dbo.RQM_LOGS_OBJECT_BACKUP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(OBJECT_NAME, OBJECT_TYPE, DEFINITION, BACKUP_DATE). Los scripts 16 y 18 construyen cada SP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siempre desde la definición respaldada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validan su estructura con THROW antes de alterarlo; si la estructura no es la esperada, el script se detiene sin cambiar nada.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Reversas disponibles en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Despliegue\Reversa\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: 04, 05, 14, 15, 16, 17, 18, 19 y 20. Antes de ejecutar una reversa se publica la versión de la aplicación sin la funcionalidad correspondiente.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Objetos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INVENTORY_ALARM_LOG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Tabla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Refrescos (R) e inactivaciones (I) de alarmas de inventario con estado anterior/nuevo, visualizaciones borradas y origen.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LOG_TRACK_ENTITY_NAMES / LOG_TRACK_FIELD_NAMES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Tablas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Nombres en español de entidades y campos del Track (ENTITY_NAME vacío = general; IS_TECHNICAL oculta llaves internas).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LOG_TRACK_OBJECTS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Tabla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Índice (tipo de objeto, Id, fecha, movimiento) para buscar en el Track por pedido, OC, artículo, etc.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RQM_LOGS_OBJECT_BACKUP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Tabla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Definiciones originales para reversa.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items.IS_BOMB_PRICE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Marca Precio bomba (excluyente con IS_SALE_OFF; la regla la aplica la aplicación).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customer_orders.IS_SPECIAL_ORDER</w:t>
            </w:r>
          </w:p>
        </w:tc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</w:t>
            </w:r>
          </w:p>
        </w:tc>
        <w:tc>
          <w:tcPr>
            <w:tcW w:type="dxa" w:w="4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Marca Pedido especial; default 0.</w:t>
            </w:r>
          </w:p>
        </w:tc>
      </w:tr>
    </w:tbl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COMPONENTES DE LA APLICACIÓN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Logs y Track (Entregas 1 y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3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Servicio / repositorio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Pantalla (ruta)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Visualización de alarmas</w:t>
            </w:r>
          </w:p>
        </w:tc>
        <w:tc>
          <w:tcPr>
            <w:tcW w:type="dxa" w:w="3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AlarmLogService / AlarmLogRepository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/alarm_visualization_log/{contexto}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 de alarmas de inventario</w:t>
            </w:r>
          </w:p>
        </w:tc>
        <w:tc>
          <w:tcPr>
            <w:tcW w:type="dxa" w:w="3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AlarmLogService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/inventory_alarm_events_log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Track</w:t>
            </w:r>
          </w:p>
        </w:tc>
        <w:tc>
          <w:tcPr>
            <w:tcW w:type="dxa" w:w="3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TrackLogService / TrackLogRepository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/track_log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Despachos y traslados</w:t>
            </w:r>
          </w:p>
        </w:tc>
        <w:tc>
          <w:tcPr>
            <w:tcW w:type="dxa" w:w="3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OrderDocumentLogService / OrderDocumentLogRepository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/order_document_log/{tipo}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Ajustes y tolerancias de OC</w:t>
            </w:r>
          </w:p>
        </w:tc>
        <w:tc>
          <w:tcPr>
            <w:tcW w:type="dxa" w:w="3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PurchaseOrderLogService / PurchaseOrderLogRepository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/purchase_order_adjustment_log, /purchase_order_approval_range_log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Log general</w:t>
            </w:r>
          </w:p>
        </w:tc>
        <w:tc>
          <w:tcPr>
            <w:tcW w:type="dxa" w:w="3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GeneralLogService / GeneralLogRepository</w:t>
            </w:r>
          </w:p>
        </w:tc>
        <w:tc>
          <w:tcPr>
            <w:tcW w:type="dxa" w:w="3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/general_log</w:t>
            </w:r>
          </w:p>
        </w:tc>
      </w:tr>
    </w:tbl>
    <w:p>
      <w:pPr>
        <w:pStyle w:val="Heading3"/>
        <w:spacing w:after="80" w:before="160"/>
      </w:pPr>
      <w:r>
        <w:rPr>
          <w:rFonts w:ascii="Century Gothic" w:cs="Century Gothic" w:eastAsia="Century Gothic" w:hAnsi="Century Gothic"/>
          <w:b/>
          <w:bCs/>
          <w:color w:val="215E99"/>
          <w:sz w:val="21"/>
          <w:szCs w:val="21"/>
        </w:rPr>
        <w:t xml:space="preserve">Ofuscación en el Track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Atributo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[TrackMasked]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y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TrackValueMasker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: el Track guarda "******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" o "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**** (modificada)"; nunca el valor ni un hash. Campos marcados: FtpWritingConnection.Password, InventoryAutomationConnection.Password y NotificationProviderSetting.Settings (claves password, pwd, secret, token del JSON). 19 entidades adicionales implementan ITrackeabl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Precio bomba (T8, T9, T20–T22b)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Item (entidad, modelo, configuración EF, ItemRepository.UpdateAsync) con IsBombPrice; regla de sufijos en Models/ItemNameMarks.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ArticleInventoryDialog y Shared/ArticleImageLocator: etiqueta $ BOMBA. Excel del correo: ExcelImageAttribute.BadgeProperty, ExcelIgnoreAttribute y FileBytesGeneratorService.Badges.cs.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Reportes con filtros tipados (ItemReferences, MinimumWarehouseStock, ReferenceMovementReportFilter) y StoredProcedureCommand.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Pedido especial (T23–T28)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T23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CustomerOrder (entidad, configuración, modelo) con IsSpecialOrder.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T24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AddCustomerOrder, AddCustomerOrderFromReservation, EditCustomerOrder; SpecialOrderOptions (opciones Sí/No, mensajes de confirmación); CustomerOrderRepository.AddAsync/UpdateAsync.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T25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CustomerOrders (columna y filtro; CustomerOrderService/Repository.GetAsync con bool? isSpecialOrder), CustomerOrderDetails, CustomerOrderSummary + InternalOnlyContent (retira filas/celdas class="internal-only" del PDF que se envía por correo).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T26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CustomerOrderReportFilter + CustomerOrderReportCommand (Pedidos, Back order, Actividades, Ventas y exportaciones); AutomaticAssigmentReportFilter y AutomaticPendingCustomerOrderInProcessReportFilter; CustomerOrderReportFilterExtensions (pantalla → filtro y query string).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T27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Columnas en logs de pedidos; OrderDocumentLogEntry/Item con IsSpecialOrder.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T28</w:t>
            </w:r>
          </w:p>
        </w:tc>
        <w:tc>
          <w:tcPr>
            <w:tcW w:type="dxa" w:w="8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Tablero (CustomerOrderExpiration, ConfirmedPurchaseOrder, AutomaticInProcessModification) — DashBoardService completa el dato con GetSpecialCustomerOrderIdsAsync; pantallas de despachos y traslados.</w:t>
            </w:r>
          </w:p>
        </w:tc>
      </w:tr>
    </w:tbl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Consecutivos de referencia interna (E4)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Alcance: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la opción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sugiere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referencias internas CÓDIGO-NNN libres.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No hay integración con la creación de artículos: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no se reserva el número, no se valida en AddItem/EditItem que la referencia sea la sugerida ni que cumpla el formato, y no hay llave entre INTERNAL_REFERENCE_CONSECUTIVES e items. La fuente de verdad es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items.INTERNAL_REFERENCE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; las tablas de E4 solo guardan sugerencias pendientes y se depuran contra items en cada Consultar/Generar. La única protección contra duplicados al crear el artículo es la existente: validación ExistsByIternalReference en AddItem e índice único UQ_INTERNAL_REF.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Consecuencias de usar referencias fuera de lo sugerido (comportamiento esperado, no defecto):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una sugerencia no usada sigue disponible; una referencia sin el patrón CÓDIGO-dígitos no cuenta como usada y se lista como no conforme; un número mayor a los sugeridos hace que la siguiente generación continúe desde él (no se rellenan huecos).</w:t>
      </w:r>
    </w:p>
    <w:p>
      <w:pPr>
        <w:pStyle w:val="Heading3"/>
        <w:spacing w:after="80" w:before="160"/>
      </w:pPr>
      <w:r>
        <w:rPr>
          <w:rFonts w:ascii="Century Gothic" w:cs="Century Gothic" w:eastAsia="Century Gothic" w:hAnsi="Century Gothic"/>
          <w:b/>
          <w:bCs/>
          <w:color w:val="215E99"/>
          <w:sz w:val="21"/>
          <w:szCs w:val="21"/>
        </w:rPr>
        <w:t xml:space="preserve">Reglas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5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5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1 a 5 caracteres; ^[A-Z0-9Ñ]+( [A-Z0-9Ñ]+)*$ tras Trim + ToUpperInvariant (un espacio interno permitido, sin guion ni signos). 5 + '-' + 4 dígitos = 10 = largo de items.INTERNAL_REFERENCE.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InternalReferenceCodeRules.ValidateCode y SP_GENERATE (THROW 50100, 50103, 50104)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5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1 a 1000 disponibles requeridos por generación.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ValidateQuantity y SP (THROW 50101)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Tope</w:t>
            </w:r>
          </w:p>
        </w:tc>
        <w:tc>
          <w:tcPr>
            <w:tcW w:type="dxa" w:w="5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Consecutivo máximo 9999. Si @Last + faltantes &gt; 9999 se rechaza indicando cuántos caben, sin generar nada.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SP (THROW 50102)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Formato sugerido</w:t>
            </w:r>
          </w:p>
        </w:tc>
        <w:tc>
          <w:tcPr>
            <w:tcW w:type="dxa" w:w="5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CÓDIGO-NNN: 3 dígitos con ceros a la izquierda; 4 desde 1000 (VA-1227).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SP (InternalReference) y InternalReferenceCodeRules.Format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Uso en artículos</w:t>
            </w:r>
          </w:p>
        </w:tc>
        <w:tc>
          <w:tcPr>
            <w:tcW w:type="dxa" w:w="5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INTERNAL_REFERENCE LIKE 'CÓDIGO-%' con el código escapado ('\', '%', '_' y '[' no son comodines; el guion separa MU de MUX). Después del guion: 1 a 4 dígitos = consecutivo; lo que siga es complemento libre (guion, letras, espacio). Comparación según la intercalación de la BD (sin distinguir mayúsculas).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FN_INTERNAL_REFERENCE_CODE_REFERENCES</w:t>
            </w:r>
          </w:p>
        </w:tc>
      </w:tr>
      <w:tr>
        <w:tc>
          <w:tcPr>
            <w:tcW w:type="dxa" w:w="15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No conformes</w:t>
            </w:r>
          </w:p>
        </w:tc>
        <w:tc>
          <w:tcPr>
            <w:tcW w:type="dxa" w:w="52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Empiezan por 'CÓDIGO-' pero: nada después del guion, no sigue un dígito, o más de 4 dígitos. CONSECUTIVE NULL + REASON.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SP_GET_INTERNAL_REFERENCE_NONCONFORMING</w:t>
            </w:r>
          </w:p>
        </w:tc>
      </w:tr>
    </w:tbl>
    <w:p>
      <w:pPr>
        <w:pStyle w:val="Heading3"/>
        <w:spacing w:after="80" w:before="160"/>
      </w:pPr>
      <w:r>
        <w:rPr>
          <w:rFonts w:ascii="Century Gothic" w:cs="Century Gothic" w:eastAsia="Century Gothic" w:hAnsi="Century Gothic"/>
          <w:b/>
          <w:bCs/>
          <w:color w:val="215E99"/>
          <w:sz w:val="21"/>
          <w:szCs w:val="21"/>
        </w:rPr>
        <w:t xml:space="preserve">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7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</w:tr>
      <w:tr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BD (script 20)</w:t>
            </w:r>
          </w:p>
        </w:tc>
        <w:tc>
          <w:tcPr>
            <w:tcW w:type="dxa" w:w="7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INTERNAL_REFERENCE_CODES (PK CODE varchar(5)). INTERNAL_REFERENCE_CONSECUTIVES (PK CODE + CONSECUTIVE, FK a CODES, CHECK &gt; 0): solo sugerencias no usadas. FN_INTERNAL_REFERENCE_CODE_REFERENCES (inline): referencias del código con CONSECUTIVE y REASON. FN_INTERNAL_REFERENCE_USED_CONSECUTIVES: solo las que cuentan. SP_PURGE_USED_INTERNAL_REFERENCE_CONSECUTIVES: borra sugerencias ya usadas en items. SP_GET_AVAILABLE_…: depura y lista (IsNew = 0). SP_GENERATE_…: valida, bloquea el código (UPDLOCK, HOLDLOCK sobre CODES y CONSECUTIVES), depura, calcula @Last = máx(disponibles ∪ usados), crea @Quantity − disponibles a partir de @Last + 1 y devuelve todas con IsNew. Parámetros @Code varchar(10) para que un código largo llegue completo y se rechace (no se trunque).</w:t>
            </w:r>
          </w:p>
        </w:tc>
      </w:tr>
      <w:tr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DataAccess</w:t>
            </w:r>
          </w:p>
        </w:tc>
        <w:tc>
          <w:tcPr>
            <w:tcW w:type="dxa" w:w="7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InternalReferenceConsecutiveEntry e InternalReferenceNonconformingEntry (keyless). InternalReferenceConsecutiveRepository con StoredProcedureCommand; traduce SqlException 50100–50199 a InvalidOperationException con el mensaje del SP.</w:t>
            </w:r>
          </w:p>
        </w:tc>
      </w:tr>
      <w:tr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InternalReferenceConsecutiveService (normaliza y valida antes de llamar al repositorio) e InternalReferenceCodeRules (MaxCodeLength 5, MaxConsecutive 9999, MaxQuantity 1000).</w:t>
            </w:r>
          </w:p>
        </w:tc>
      </w:tr>
      <w:tr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Web</w:t>
            </w:r>
          </w:p>
        </w:tc>
        <w:tc>
          <w:tcPr>
            <w:tcW w:type="dxa" w:w="7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Pages/ItemPages/InternalReferenceConsecutives (/internal-reference-consecutives; roles Administrador y Modificación de artículos; menú Administración › Consecutivos de referencia). Aviso fijo de que son sugerencias; mensajes de validación debajo de los campos, que se retiran al cambiar código o cantidad; muestra ArgumentException e InvalidOperationException al usuario y registra en el log los demás errores.</w:t>
            </w:r>
          </w:p>
        </w:tc>
      </w:tr>
    </w:tbl>
    <w:p>
      <w:pPr>
        <w:pStyle w:val="Heading3"/>
        <w:spacing w:after="80" w:before="160"/>
      </w:pPr>
      <w:r>
        <w:rPr>
          <w:rFonts w:ascii="Century Gothic" w:cs="Century Gothic" w:eastAsia="Century Gothic" w:hAnsi="Century Gothic"/>
          <w:b/>
          <w:bCs/>
          <w:color w:val="215E99"/>
          <w:sz w:val="21"/>
          <w:szCs w:val="21"/>
        </w:rPr>
        <w:t xml:space="preserve">Despliegue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Producción: scripts 01 a 20 en orden. El 20 crea las tablas con CODE varchar(5).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Ambientes donde ya corrió la versión anterior del 20 (CODE varchar(6)): el 20 actual ajusta las columnas a varchar(5) dentro de una transacción (borra solo códigos de más de 5 caracteres, que no existen en datos reales) y recrea funciones y 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Reversa: Reversa\20 elimina funciones, SP y tablas (las sugerencias pendientes se pierden; items no se toca).</w:t>
      </w:r>
    </w:p>
    <w:p>
      <w:pPr>
        <w:pStyle w:val="Heading3"/>
        <w:spacing w:after="80" w:before="160"/>
      </w:pPr>
      <w:r>
        <w:rPr>
          <w:rFonts w:ascii="Century Gothic" w:cs="Century Gothic" w:eastAsia="Century Gothic" w:hAnsi="Century Gothic"/>
          <w:b/>
          <w:bCs/>
          <w:color w:val="215E99"/>
          <w:sz w:val="21"/>
          <w:szCs w:val="21"/>
        </w:rPr>
        <w:t xml:space="preserve">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Unitarias (xUnit)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Aldebaran.Application.Services.Tests: reglas de código (válidos/ inválidos, Ñ, espacios, signos), formato 3/4 dígitos, largo máximo ≤ 10, cantidad 1–1000, y servicio (normaliza, no llama al repositorio con datos inválidos). dotnet test.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44/44 OK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BD: reconocimiento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scripts\…\Pruebas\P07 - Pruebas E4 consecutivos.sql (transacción revertida): 1, 2, 3 y 4 dígitos; ceros a la izquierda; complementos con guion, pegados y con espacio; minúsculas; doble guion; sin guion; otro código (QZX); más de 4 dígitos; nada después del guion.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18/18 OK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BD: generación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Código nuevo; completar hasta N; no borrar si ya hay más; artículo creado con la sugerencia, con complemento, sin guion, sin ceros, con número mayor (salto), no conformes que no afectan; paso de 999 a 1000; tope exacto 9999; código de 5; código con espacio; recorte de espacios.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19/19 OK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BD: validaciones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P08 - Pruebas E4 validaciones.sql: vacío, NULL, espacios, 6 caracteres, guion, '_', '%', dos espacios, punto; cantidad 0, −1, 1001, NULL; tope 9999 (rechaza sin generar).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14/14 OK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BD: concurrencia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3 sesiones simultáneas × 150 generaciones + consultas sobre el mismo código.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0 errores, 0 duplicados, sin bloqueos mutuos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Datos reales (BD de pruebas)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VA: mayor 1226 (cuenta VA-1015-1 y VA-984SURA); CP-59T = 59; PM VA: 825; TH: 26 no conformes.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Pantalla (navegador)</w:t>
            </w:r>
          </w:p>
        </w:tc>
        <w:tc>
          <w:tcPr>
            <w:tcW w:type="dxa" w:w="5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Aviso, validaciones con mensaje (incluye 7 caracteres y cantidad 0), primer clic tras un error, cancelar confirmación, código nuevo, VA en 4 dígitos, PM VA, no conformes, sin sugerencias, no recrear, tope 9999 desde la BD.</w:t>
            </w:r>
          </w:p>
        </w:tc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20/20 OK</w:t>
            </w:r>
          </w:p>
        </w:tc>
      </w:tr>
    </w:tbl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Exportaciones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(ExportAldebaranDbController): requieren usuario autenticado ([Authorize]) y reciben los filtros tipados por la cadena de consulta. Antes ejecutaban el SQL recibido en la URL sin autenticación.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Los reportes de pedidos (8 SP) dejaron de concatenar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Credenciales ofuscadas en el Track (actual e histórico).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Consultas de log con lectura sin bloqueos (READ UNCOMMITTED) e índices dedicados: no afectan la operación.</w:t>
      </w:r>
    </w:p>
    <w:p>
      <w:pPr>
        <w:spacing w:after="120"/>
      </w:pPr>
      <w:r>
        <w:rPr>
          <w:rFonts w:ascii="Century Gothic" w:cs="Century Gothic" w:eastAsia="Century Gothic" w:hAnsi="Century Gothic"/>
          <w:i/>
          <w:iCs/>
          <w:color w:val="7F7F7F"/>
          <w:sz w:val="18"/>
          <w:szCs w:val="18"/>
        </w:rPr>
        <w:t xml:space="preserve">Deuda técnica registrada para análisis posterior: 9 reportes fuera del alcance todavía arman SQL concatenado (OC, Reservas, Inventario, Traslados, Ajustes, Stock de bodega, Proveedor-referencias, Zona franca, Inventario en proceso).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DESPLIEGUE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Respaldar la base de datos de producción.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Ejecutar los scripts de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Despliegue\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 en orden (01–20) sobre la BD Aldebaran. Los scripts 16, 18 y 19 se ejecutan en la misma ventana en que se publica la aplicación.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Publicar la versión de la aplicación.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No reemplazar appsettings de producción.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Autómata de Existencias: desplegar el NLog.config actualizado (target asyncDatabase → log.SP_INSERT_AUTOMATA_EXISTENCIAS_LOG), dar EXECUTE a su usuario de BD y reiniciar el servicio.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Validar el script 05 con permisos sobre msdb.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Asignar los roles nuevos (Log del sistema, Log de inventarios) a los usuarios que correspondan.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Verificación: abrir Log general y confirmar el origen AutomataExistencias; crear un pedido de prueba con Pedido especial; ejecutar un reporte de pedidos.</w:t>
      </w:r>
    </w:p>
    <w:p>
      <w:pPr>
        <w:pStyle w:val="Heading2"/>
        <w:spacing w:after="100" w:before="240"/>
      </w:pPr>
      <w:r>
        <w:rPr>
          <w:rFonts w:ascii="Century Gothic" w:cs="Century Gothic" w:eastAsia="Century Gothic" w:hAnsi="Century Gothic"/>
          <w:b/>
          <w:bCs/>
          <w:color w:val="0F4761"/>
          <w:sz w:val="24"/>
          <w:szCs w:val="24"/>
        </w:rPr>
        <w:t xml:space="preserve">Reversa</w:t>
      </w:r>
    </w:p>
    <w:p>
      <w:pPr>
        <w:spacing w:after="120" w:line="276"/>
      </w:pPr>
      <w:r>
        <w:rPr>
          <w:rFonts w:ascii="Century Gothic" w:cs="Century Gothic" w:eastAsia="Century Gothic" w:hAnsi="Century Gothic"/>
          <w:sz w:val="20"/>
          <w:szCs w:val="20"/>
        </w:rPr>
        <w:t xml:space="preserve">Publicar la versión anterior de la aplicación y ejecutar las reversas en orden inverso (20, 19, 18, 17, 16, 15, 14, 05, 04). Las tablas de log se conservan.</w:t>
      </w:r>
    </w:p>
    <w:p>
      <w:pPr>
        <w:pStyle w:val="Heading1"/>
        <w:spacing w:after="120" w:before="360"/>
      </w:pPr>
      <w:r>
        <w:rPr>
          <w:rFonts w:ascii="Century Gothic" w:cs="Century Gothic" w:eastAsia="Century Gothic" w:hAnsi="Century Gothic"/>
          <w:color w:val="215E99"/>
          <w:sz w:val="28"/>
          <w:szCs w:val="28"/>
        </w:rPr>
        <w:t xml:space="preserve">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type="dxa" w:w="3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Script 16/18 termina con "no tiene la estructura esperada".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El SP en esa BD difiere de la versión validada.</w:t>
            </w:r>
          </w:p>
        </w:tc>
        <w:tc>
          <w:tcPr>
            <w:tcW w:type="dxa" w:w="3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No forzar. Comparar la definición con RQM_LOGS_OBJECT_BACKUP y ajustar el script.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Reporte de pedidos falla con columna IsSpecialOrder.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Se publicó la app sin ejecutar el script 18 (o al revés).</w:t>
            </w:r>
          </w:p>
        </w:tc>
        <w:tc>
          <w:tcPr>
            <w:tcW w:type="dxa" w:w="3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Desplegar script y app juntos.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Exportación pide inicio de sesión.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Comportamiento esperado.</w:t>
            </w:r>
          </w:p>
        </w:tc>
        <w:tc>
          <w:tcPr>
            <w:tcW w:type="dxa" w:w="3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Exportar desde la aplicación con sesión iniciada.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No aparece el origen AutomataExistencias.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NLog.config no desplegado o sin permiso EXECUTE.</w:t>
            </w:r>
          </w:p>
        </w:tc>
        <w:tc>
          <w:tcPr>
            <w:tcW w:type="dxa" w:w="3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A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Revisar el despliegue del autómata.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Track muestra nombres técnicos.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Campo nuevo sin nombre en LOG_TRACK_FIELD_NAMES.</w:t>
            </w:r>
          </w:p>
        </w:tc>
        <w:tc>
          <w:tcPr>
            <w:tcW w:type="dxa" w:w="3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8"/>
                <w:szCs w:val="18"/>
              </w:rPr>
              <w:t xml:space="preserve">Agregar la fila (ENTITY_NAME vacío o específico).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7F7F7F"/>
        <w:sz w:val="16"/>
        <w:szCs w:val="16"/>
      </w:rPr>
      <w:t xml:space="preserve">Manual Técnico – Complemento Consulta de Logs  ·  Página </w:t>
    </w:r>
    <w:r>
      <w:rPr>
        <w:rFonts w:ascii="Century Gothic" w:cs="Century Gothic" w:eastAsia="Century Gothic" w:hAnsi="Century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entury Gothic" w:cs="Century Gothic" w:eastAsia="Century Gothic" w:hAnsi="Century Gothic"/>
      <w:color w:val="215E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entury Gothic" w:cs="Century Gothic" w:eastAsia="Century Gothic" w:hAnsi="Century Gothic"/>
      <w:b/>
      <w:bCs/>
      <w:color w:val="0F4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entury Gothic" w:cs="Century Gothic" w:eastAsia="Century Gothic" w:hAnsi="Century Gothic"/>
      <w:b/>
      <w:bCs/>
      <w:color w:val="215E9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– Complemento Consulta de Logs</dc:title>
  <dc:creator>Aldebaran Web</dc:creator>
  <cp:lastModifiedBy>Un-named</cp:lastModifiedBy>
  <cp:revision>1</cp:revision>
  <dcterms:created xsi:type="dcterms:W3CDTF">2026-10-24T21:52:36.278Z</dcterms:created>
  <dcterms:modified xsi:type="dcterms:W3CDTF">2026-10-24T21:52:36.278Z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