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5894" w:rsidRPr="00CE4AE9" w:rsidRDefault="00BE5894" w:rsidP="00831FBA">
      <w:pPr>
        <w:ind w:left="708" w:hanging="708"/>
        <w:jc w:val="right"/>
        <w:rPr>
          <w:rFonts w:ascii="Century Gothic" w:hAnsi="Century Gothic" w:cstheme="majorHAnsi"/>
          <w:color w:val="7F7F7F" w:themeColor="text1" w:themeTint="80"/>
          <w:sz w:val="48"/>
          <w:szCs w:val="48"/>
        </w:rPr>
      </w:pPr>
      <w:r w:rsidRPr="00CE4AE9">
        <w:rPr>
          <w:rFonts w:ascii="Century Gothic" w:hAnsi="Century Gothic" w:cstheme="majorHAnsi"/>
          <w:color w:val="7F7F7F" w:themeColor="text1" w:themeTint="80"/>
          <w:sz w:val="48"/>
          <w:szCs w:val="48"/>
        </w:rPr>
        <w:t>PROPUESTA</w:t>
      </w:r>
    </w:p>
    <w:p w:rsidR="00BE5894" w:rsidRPr="00CE4AE9" w:rsidRDefault="00BE5894" w:rsidP="00BE5894">
      <w:pPr>
        <w:jc w:val="right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 xml:space="preserve">NUEVAS FUNCIONALIDADES </w:t>
      </w:r>
    </w:p>
    <w:p w:rsidR="00BE5894" w:rsidRPr="00CE4AE9" w:rsidRDefault="00BE5894" w:rsidP="00BE5894">
      <w:pPr>
        <w:jc w:val="right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>PARA ALDEBARAN WEB</w:t>
      </w:r>
    </w:p>
    <w:p w:rsidR="00BE5894" w:rsidRPr="00CE4AE9" w:rsidRDefault="00BE5894" w:rsidP="00BE5894">
      <w:pPr>
        <w:rPr>
          <w:rFonts w:ascii="Century Gothic" w:hAnsi="Century Gothic" w:cstheme="majorHAnsi"/>
        </w:rPr>
      </w:pPr>
      <w:r w:rsidRPr="00CE4AE9">
        <w:rPr>
          <w:rFonts w:ascii="Century Gothic" w:hAnsi="Century Gothic" w:cstheme="majorHAnsi"/>
        </w:rPr>
        <w:t xml:space="preserve"> </w:t>
      </w:r>
    </w:p>
    <w:p w:rsidR="00BE5894" w:rsidRDefault="00BE5894" w:rsidP="00BE5894">
      <w:pPr>
        <w:rPr>
          <w:rFonts w:ascii="Century Gothic" w:hAnsi="Century Gothic" w:cstheme="majorHAnsi"/>
        </w:rPr>
      </w:pPr>
    </w:p>
    <w:p w:rsidR="00BE5894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BE5894" w:rsidRPr="009A17DF" w:rsidRDefault="00E92FEA" w:rsidP="00BE5894">
      <w:pPr>
        <w:jc w:val="right"/>
        <w:rPr>
          <w:rFonts w:ascii="Century Gothic" w:hAnsi="Century Gothic" w:cstheme="majorHAnsi"/>
          <w:sz w:val="44"/>
          <w:szCs w:val="52"/>
        </w:rPr>
      </w:pPr>
      <w:r>
        <w:rPr>
          <w:rFonts w:ascii="Century Gothic" w:hAnsi="Century Gothic" w:cstheme="majorHAnsi"/>
          <w:sz w:val="44"/>
          <w:szCs w:val="52"/>
        </w:rPr>
        <w:t>Ajuste al Reporte de Referencias del Proveedor y Catálogo de Homologaciones con la Competencia</w:t>
      </w: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BE5894" w:rsidRDefault="00BE5894" w:rsidP="00BE5894">
      <w:pPr>
        <w:rPr>
          <w:rFonts w:ascii="Century Gothic" w:hAnsi="Century Gothic" w:cstheme="majorHAnsi"/>
        </w:rPr>
      </w:pPr>
    </w:p>
    <w:p w:rsidR="00BE5894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HAnsi"/>
        </w:rPr>
      </w:pPr>
      <w:r w:rsidRPr="00CE4AE9">
        <w:rPr>
          <w:rFonts w:ascii="Century Gothic" w:hAnsi="Century Gothic" w:cstheme="majorHAnsi"/>
          <w:color w:val="7F7F7F" w:themeColor="text1" w:themeTint="80"/>
          <w:sz w:val="48"/>
          <w:szCs w:val="48"/>
        </w:rPr>
        <w:t>Para</w:t>
      </w:r>
    </w:p>
    <w:p w:rsidR="00BE5894" w:rsidRPr="00CE4AE9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>PROMOS</w:t>
      </w:r>
    </w:p>
    <w:p w:rsidR="00BE5894" w:rsidRPr="00CE4AE9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HAnsi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Bidi"/>
          <w:sz w:val="28"/>
          <w:szCs w:val="28"/>
        </w:rPr>
      </w:pPr>
      <w:r w:rsidRPr="00CE4AE9">
        <w:rPr>
          <w:rFonts w:ascii="Century Gothic" w:hAnsi="Century Gothic" w:cstheme="majorBidi"/>
          <w:sz w:val="28"/>
          <w:szCs w:val="28"/>
        </w:rPr>
        <w:t>Bogotá, 29 de octubre de 2026</w:t>
      </w:r>
    </w:p>
    <w:p w:rsidR="006178AD" w:rsidRDefault="00B4047E">
      <w:pPr>
        <w:pStyle w:val="Ttulo1"/>
      </w:pPr>
      <w:r>
        <w:rPr>
          <w:b w:val="0"/>
        </w:rPr>
        <w:lastRenderedPageBreak/>
        <w:t>OBJETIVO DEL DESARROLLO</w:t>
      </w:r>
    </w:p>
    <w:p w:rsidR="00E92FEA" w:rsidRDefault="00E92FEA" w:rsidP="00E92FEA">
      <w:r w:rsidRPr="00E92FEA">
        <w:t>Ajustar el Reporte de Referencias del Proveedor de la aplicación Aldebarán Web e incorporar el Catálogo de la Competencia. Para el reporte se incorpora: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Filtro por Línea, Artículo y Referencia.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Condiciones de filtro de artículos y referencias, iguales a las del Reporte de Artículos y Referencias.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Opción para incluir o no el detalle de inventario y bodegas (Bodega Local y Zona Franca).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Exportación a Excel.</w:t>
      </w:r>
    </w:p>
    <w:p w:rsidR="00E92FEA" w:rsidRDefault="00E92FEA" w:rsidP="00E92FEA">
      <w:r w:rsidRPr="00E92FEA">
        <w:t>Por defecto el reporte se seguirá presentando como hoy, con el inventario y su distribución por bodega. Cuando el usuario lo requiera, podrá obtener solo el listado de referencias de cada proveedor, más liviano y enfocado en la gestión con el proveedor.</w:t>
      </w:r>
    </w:p>
    <w:p w:rsidR="00E92FEA" w:rsidRDefault="00E92FEA" w:rsidP="00E92FEA">
      <w:r w:rsidRPr="00E92FEA">
        <w:t>Adicionalmente, se incorporará el Catálogo de la Competencia, que permitirá registrar las compañías de la competencia y las homologaciones de artículos y referencias de PROMOS con sus productos, reemplazando el registro manual actual, y consultarlas en un nuevo reporte.</w:t>
      </w:r>
    </w:p>
    <w:p w:rsidR="006178AD" w:rsidRDefault="00B4047E">
      <w:pPr>
        <w:pStyle w:val="Ttulo1"/>
      </w:pPr>
      <w:r>
        <w:rPr>
          <w:b w:val="0"/>
        </w:rPr>
        <w:t>BENEFICIOS PARA PROMOS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8"/>
        <w:gridCol w:w="6123"/>
      </w:tblGrid>
      <w:tr w:rsidR="006178AD" w:rsidTr="00EE282A">
        <w:tc>
          <w:tcPr>
            <w:tcW w:w="2948" w:type="dxa"/>
            <w:shd w:val="clear" w:color="auto" w:fill="215E99" w:themeFill="text2" w:themeFillTint="BF"/>
            <w:vAlign w:val="center"/>
          </w:tcPr>
          <w:p w:rsidR="006178AD" w:rsidRPr="00496CD5" w:rsidRDefault="00B4047E" w:rsidP="00496CD5">
            <w:pPr>
              <w:jc w:val="center"/>
              <w:rPr>
                <w:b/>
              </w:rPr>
            </w:pPr>
            <w:r w:rsidRPr="00496CD5">
              <w:rPr>
                <w:rFonts w:ascii="Century Gothic" w:hAnsi="Century Gothic"/>
                <w:b/>
                <w:color w:val="FFFFFF"/>
                <w:sz w:val="20"/>
              </w:rPr>
              <w:t>Beneficio</w:t>
            </w:r>
          </w:p>
        </w:tc>
        <w:tc>
          <w:tcPr>
            <w:tcW w:w="6123" w:type="dxa"/>
            <w:shd w:val="clear" w:color="auto" w:fill="215E99" w:themeFill="text2" w:themeFillTint="BF"/>
          </w:tcPr>
          <w:p w:rsidR="006178AD" w:rsidRDefault="00B4047E">
            <w:pPr>
              <w:jc w:val="center"/>
            </w:pPr>
            <w:r>
              <w:rPr>
                <w:rFonts w:ascii="Century Gothic" w:hAnsi="Century Gothic"/>
                <w:b/>
                <w:color w:val="FFFFFF"/>
                <w:sz w:val="20"/>
              </w:rPr>
              <w:t>Cómo se logra</w:t>
            </w:r>
          </w:p>
        </w:tc>
      </w:tr>
      <w:tr w:rsidR="006178AD" w:rsidTr="00496CD5">
        <w:tc>
          <w:tcPr>
            <w:tcW w:w="2948" w:type="dxa"/>
            <w:shd w:val="clear" w:color="auto" w:fill="auto"/>
            <w:vAlign w:val="center"/>
          </w:tcPr>
          <w:p w:rsidR="006178AD" w:rsidRPr="00496CD5" w:rsidRDefault="00496CD5" w:rsidP="00496CD5">
            <w:pPr>
              <w:spacing w:before="0" w:after="0" w:line="300" w:lineRule="atLeast"/>
              <w:rPr>
                <w:b/>
              </w:rPr>
            </w:pPr>
            <w:r w:rsidRPr="00496CD5">
              <w:rPr>
                <w:rFonts w:ascii="Segoe UI" w:eastAsia="Times New Roman" w:hAnsi="Segoe UI" w:cs="Segoe UI"/>
                <w:b/>
                <w:sz w:val="21"/>
                <w:szCs w:val="21"/>
                <w:lang w:eastAsia="es-CO"/>
              </w:rPr>
              <w:t>Información ajustada a cada necesidad</w:t>
            </w:r>
          </w:p>
        </w:tc>
        <w:tc>
          <w:tcPr>
            <w:tcW w:w="6123" w:type="dxa"/>
            <w:shd w:val="clear" w:color="auto" w:fill="auto"/>
          </w:tcPr>
          <w:p w:rsidR="006178AD" w:rsidRDefault="00496CD5" w:rsidP="00496CD5">
            <w:pPr>
              <w:spacing w:before="0" w:after="0" w:line="300" w:lineRule="atLeast"/>
            </w:pPr>
            <w:r w:rsidRPr="00496CD5">
              <w:rPr>
                <w:rFonts w:ascii="Segoe UI" w:eastAsia="Times New Roman" w:hAnsi="Segoe UI" w:cs="Segoe UI"/>
                <w:sz w:val="21"/>
                <w:szCs w:val="21"/>
                <w:lang w:eastAsia="es-CO"/>
              </w:rPr>
              <w:t>Permitiendo obtener solo las referencias del proveedor o el detalle completo de inventario y bodegas, según el propósito de la consulta.</w:t>
            </w:r>
          </w:p>
        </w:tc>
      </w:tr>
      <w:tr w:rsidR="006178AD" w:rsidTr="00EE282A">
        <w:tc>
          <w:tcPr>
            <w:tcW w:w="2948" w:type="dxa"/>
            <w:shd w:val="clear" w:color="auto" w:fill="DAE9F7" w:themeFill="text2" w:themeFillTint="1A"/>
            <w:vAlign w:val="center"/>
          </w:tcPr>
          <w:p w:rsidR="006178AD" w:rsidRPr="00496CD5" w:rsidRDefault="00496CD5" w:rsidP="00496CD5">
            <w:pPr>
              <w:spacing w:before="0" w:after="0" w:line="300" w:lineRule="atLeast"/>
              <w:rPr>
                <w:b/>
              </w:rPr>
            </w:pPr>
            <w:r w:rsidRPr="00496CD5">
              <w:rPr>
                <w:rFonts w:ascii="Segoe UI" w:eastAsia="Times New Roman" w:hAnsi="Segoe UI" w:cs="Segoe UI"/>
                <w:b/>
                <w:sz w:val="21"/>
                <w:szCs w:val="21"/>
                <w:lang w:eastAsia="es-CO"/>
              </w:rPr>
              <w:t>Consultas más precisas</w:t>
            </w:r>
          </w:p>
        </w:tc>
        <w:tc>
          <w:tcPr>
            <w:tcW w:w="6123" w:type="dxa"/>
            <w:shd w:val="clear" w:color="auto" w:fill="DAE9F7" w:themeFill="text2" w:themeFillTint="1A"/>
          </w:tcPr>
          <w:p w:rsidR="006178AD" w:rsidRDefault="00496CD5" w:rsidP="00496CD5">
            <w:pPr>
              <w:spacing w:before="0" w:after="0" w:line="300" w:lineRule="atLeast"/>
            </w:pPr>
            <w:r w:rsidRPr="00496CD5">
              <w:rPr>
                <w:rFonts w:ascii="Segoe UI" w:eastAsia="Times New Roman" w:hAnsi="Segoe UI" w:cs="Segoe UI"/>
                <w:sz w:val="21"/>
                <w:szCs w:val="21"/>
                <w:lang w:eastAsia="es-CO"/>
              </w:rPr>
              <w:t>Filtrando por línea, artículo o referencia y por condiciones como activos, visibles en página, nacionales, importación especial, promoción o agotados.</w:t>
            </w:r>
          </w:p>
        </w:tc>
      </w:tr>
      <w:tr w:rsidR="006178AD" w:rsidTr="00496CD5">
        <w:tc>
          <w:tcPr>
            <w:tcW w:w="2948" w:type="dxa"/>
            <w:shd w:val="clear" w:color="auto" w:fill="auto"/>
            <w:vAlign w:val="center"/>
          </w:tcPr>
          <w:p w:rsidR="006178AD" w:rsidRPr="00496CD5" w:rsidRDefault="00496CD5" w:rsidP="00496CD5">
            <w:pPr>
              <w:spacing w:before="0" w:after="0" w:line="300" w:lineRule="atLeast"/>
              <w:rPr>
                <w:b/>
              </w:rPr>
            </w:pPr>
            <w:r w:rsidRPr="00496CD5">
              <w:rPr>
                <w:rFonts w:ascii="Segoe UI" w:eastAsia="Times New Roman" w:hAnsi="Segoe UI" w:cs="Segoe UI"/>
                <w:b/>
                <w:sz w:val="21"/>
                <w:szCs w:val="21"/>
                <w:lang w:eastAsia="es-CO"/>
              </w:rPr>
              <w:t>Mejor gestión con proveedores</w:t>
            </w:r>
          </w:p>
        </w:tc>
        <w:tc>
          <w:tcPr>
            <w:tcW w:w="6123" w:type="dxa"/>
            <w:shd w:val="clear" w:color="auto" w:fill="auto"/>
          </w:tcPr>
          <w:p w:rsidR="006178AD" w:rsidRDefault="00496CD5" w:rsidP="00496CD5">
            <w:pPr>
              <w:spacing w:before="0" w:after="0" w:line="300" w:lineRule="atLeast"/>
            </w:pPr>
            <w:r w:rsidRPr="00496CD5">
              <w:rPr>
                <w:rFonts w:ascii="Segoe UI" w:eastAsia="Times New Roman" w:hAnsi="Segoe UI" w:cs="Segoe UI"/>
                <w:sz w:val="21"/>
                <w:szCs w:val="21"/>
                <w:lang w:eastAsia="es-CO"/>
              </w:rPr>
              <w:t>Generando listados limpios de referencias por proveedor, listos para compartir sin exponer saldos de inventario.</w:t>
            </w:r>
          </w:p>
        </w:tc>
      </w:tr>
      <w:tr w:rsidR="006178AD" w:rsidTr="00EE282A">
        <w:tc>
          <w:tcPr>
            <w:tcW w:w="2948" w:type="dxa"/>
            <w:shd w:val="clear" w:color="auto" w:fill="DAE9F7" w:themeFill="text2" w:themeFillTint="1A"/>
            <w:vAlign w:val="center"/>
          </w:tcPr>
          <w:p w:rsidR="006178AD" w:rsidRPr="00496CD5" w:rsidRDefault="00496CD5" w:rsidP="00496CD5">
            <w:pPr>
              <w:spacing w:before="0" w:after="0" w:line="300" w:lineRule="atLeast"/>
              <w:rPr>
                <w:b/>
              </w:rPr>
            </w:pPr>
            <w:r w:rsidRPr="00496CD5">
              <w:rPr>
                <w:rFonts w:ascii="Segoe UI" w:eastAsia="Times New Roman" w:hAnsi="Segoe UI" w:cs="Segoe UI"/>
                <w:b/>
                <w:sz w:val="21"/>
                <w:szCs w:val="21"/>
                <w:lang w:eastAsia="es-CO"/>
              </w:rPr>
              <w:t>Análisis en Excel</w:t>
            </w:r>
          </w:p>
        </w:tc>
        <w:tc>
          <w:tcPr>
            <w:tcW w:w="6123" w:type="dxa"/>
            <w:shd w:val="clear" w:color="auto" w:fill="DAE9F7" w:themeFill="text2" w:themeFillTint="1A"/>
          </w:tcPr>
          <w:p w:rsidR="006178AD" w:rsidRDefault="00496CD5" w:rsidP="00496CD5">
            <w:pPr>
              <w:spacing w:before="0" w:after="0" w:line="300" w:lineRule="atLeast"/>
            </w:pPr>
            <w:r w:rsidRPr="00496CD5">
              <w:rPr>
                <w:rFonts w:ascii="Segoe UI" w:eastAsia="Times New Roman" w:hAnsi="Segoe UI" w:cs="Segoe UI"/>
                <w:sz w:val="21"/>
                <w:szCs w:val="21"/>
                <w:lang w:eastAsia="es-CO"/>
              </w:rPr>
              <w:t>Exportando el resultado filtrado para análisis, cruces o envío, sin transcribir información.</w:t>
            </w:r>
          </w:p>
        </w:tc>
      </w:tr>
      <w:tr w:rsidR="006178AD" w:rsidTr="00496CD5">
        <w:tc>
          <w:tcPr>
            <w:tcW w:w="2948" w:type="dxa"/>
            <w:shd w:val="clear" w:color="auto" w:fill="auto"/>
            <w:vAlign w:val="center"/>
          </w:tcPr>
          <w:p w:rsidR="006178AD" w:rsidRPr="00496CD5" w:rsidRDefault="00496CD5" w:rsidP="00496CD5">
            <w:pPr>
              <w:spacing w:before="0" w:after="0" w:line="300" w:lineRule="atLeast"/>
              <w:rPr>
                <w:b/>
              </w:rPr>
            </w:pPr>
            <w:r w:rsidRPr="00496CD5">
              <w:rPr>
                <w:rFonts w:ascii="Segoe UI" w:eastAsia="Times New Roman" w:hAnsi="Segoe UI" w:cs="Segoe UI"/>
                <w:b/>
                <w:sz w:val="21"/>
                <w:szCs w:val="21"/>
                <w:lang w:eastAsia="es-CO"/>
              </w:rPr>
              <w:t>Coherencia entre reportes</w:t>
            </w:r>
          </w:p>
        </w:tc>
        <w:tc>
          <w:tcPr>
            <w:tcW w:w="6123" w:type="dxa"/>
            <w:shd w:val="clear" w:color="auto" w:fill="auto"/>
          </w:tcPr>
          <w:p w:rsidR="006178AD" w:rsidRDefault="00496CD5" w:rsidP="00496CD5">
            <w:pPr>
              <w:spacing w:before="0" w:after="0" w:line="300" w:lineRule="atLeast"/>
            </w:pPr>
            <w:r w:rsidRPr="00496CD5">
              <w:rPr>
                <w:rFonts w:ascii="Segoe UI" w:eastAsia="Times New Roman" w:hAnsi="Segoe UI" w:cs="Segoe UI"/>
                <w:sz w:val="21"/>
                <w:szCs w:val="21"/>
                <w:lang w:eastAsia="es-CO"/>
              </w:rPr>
              <w:t>Usando los mismos filtros y comportamiento del Reporte de Artículos y Referencias, reduciendo la curva de aprendizaje.</w:t>
            </w:r>
          </w:p>
        </w:tc>
      </w:tr>
      <w:tr w:rsidR="00496CD5" w:rsidRPr="00496CD5" w:rsidTr="00EE282A">
        <w:tc>
          <w:tcPr>
            <w:tcW w:w="2948" w:type="dxa"/>
            <w:shd w:val="clear" w:color="auto" w:fill="DAE9F7" w:themeFill="text2" w:themeFillTint="1A"/>
            <w:vAlign w:val="center"/>
          </w:tcPr>
          <w:p w:rsidR="00496CD5" w:rsidRPr="00496CD5" w:rsidRDefault="00496CD5" w:rsidP="00496CD5">
            <w:pPr>
              <w:spacing w:before="0" w:after="0"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eastAsia="es-CO"/>
              </w:rPr>
            </w:pPr>
            <w:r w:rsidRPr="00496CD5">
              <w:rPr>
                <w:rFonts w:ascii="Segoe UI" w:eastAsia="Times New Roman" w:hAnsi="Segoe UI" w:cs="Segoe UI"/>
                <w:b/>
                <w:sz w:val="21"/>
                <w:szCs w:val="21"/>
                <w:lang w:eastAsia="es-CO"/>
              </w:rPr>
              <w:t>Mejor tiempo de respuesta</w:t>
            </w:r>
          </w:p>
        </w:tc>
        <w:tc>
          <w:tcPr>
            <w:tcW w:w="6123" w:type="dxa"/>
            <w:shd w:val="clear" w:color="auto" w:fill="DAE9F7" w:themeFill="text2" w:themeFillTint="1A"/>
          </w:tcPr>
          <w:p w:rsidR="00496CD5" w:rsidRPr="00496CD5" w:rsidRDefault="00496CD5" w:rsidP="00496CD5">
            <w:pPr>
              <w:spacing w:before="0" w:after="0" w:line="300" w:lineRule="atLeast"/>
              <w:rPr>
                <w:rFonts w:ascii="Segoe UI" w:eastAsia="Times New Roman" w:hAnsi="Segoe UI" w:cs="Segoe UI"/>
                <w:sz w:val="21"/>
                <w:szCs w:val="21"/>
                <w:lang w:eastAsia="es-CO"/>
              </w:rPr>
            </w:pPr>
            <w:r w:rsidRPr="00496CD5">
              <w:rPr>
                <w:rFonts w:ascii="Segoe UI" w:eastAsia="Times New Roman" w:hAnsi="Segoe UI" w:cs="Segoe UI"/>
                <w:sz w:val="21"/>
                <w:szCs w:val="21"/>
                <w:lang w:eastAsia="es-CO"/>
              </w:rPr>
              <w:t>Optimizando la consulta del reporte para soportar los nuevos filtros, incluso sobre el catálogo completo.</w:t>
            </w:r>
          </w:p>
        </w:tc>
      </w:tr>
      <w:tr w:rsidR="00496CD5" w:rsidRPr="00496CD5" w:rsidTr="00496CD5">
        <w:tc>
          <w:tcPr>
            <w:tcW w:w="2948" w:type="dxa"/>
            <w:shd w:val="clear" w:color="auto" w:fill="auto"/>
            <w:vAlign w:val="center"/>
          </w:tcPr>
          <w:p w:rsidR="00496CD5" w:rsidRPr="00496CD5" w:rsidRDefault="00496CD5" w:rsidP="00496CD5">
            <w:pPr>
              <w:spacing w:before="0" w:after="0"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eastAsia="es-CO"/>
              </w:rPr>
            </w:pPr>
            <w:r w:rsidRPr="00496CD5">
              <w:rPr>
                <w:rFonts w:ascii="Segoe UI" w:eastAsia="Times New Roman" w:hAnsi="Segoe UI" w:cs="Segoe UI"/>
                <w:b/>
                <w:sz w:val="21"/>
                <w:szCs w:val="21"/>
                <w:lang w:eastAsia="es-CO"/>
              </w:rPr>
              <w:t>Sin impacto en la operación actual</w:t>
            </w:r>
          </w:p>
        </w:tc>
        <w:tc>
          <w:tcPr>
            <w:tcW w:w="6123" w:type="dxa"/>
            <w:shd w:val="clear" w:color="auto" w:fill="auto"/>
          </w:tcPr>
          <w:p w:rsidR="00496CD5" w:rsidRPr="00496CD5" w:rsidRDefault="00496CD5" w:rsidP="00496CD5">
            <w:pPr>
              <w:spacing w:before="0" w:after="0" w:line="300" w:lineRule="atLeast"/>
              <w:rPr>
                <w:rFonts w:ascii="Segoe UI" w:eastAsia="Times New Roman" w:hAnsi="Segoe UI" w:cs="Segoe UI"/>
                <w:sz w:val="21"/>
                <w:szCs w:val="21"/>
                <w:lang w:eastAsia="es-CO"/>
              </w:rPr>
            </w:pPr>
            <w:r w:rsidRPr="00496CD5">
              <w:rPr>
                <w:rFonts w:ascii="Segoe UI" w:eastAsia="Times New Roman" w:hAnsi="Segoe UI" w:cs="Segoe UI"/>
                <w:sz w:val="21"/>
                <w:szCs w:val="21"/>
                <w:lang w:eastAsia="es-CO"/>
              </w:rPr>
              <w:t>Conservando por defecto la presentación actual del reporte, su ubicación en el menú y sus perfiles de acceso.</w:t>
            </w:r>
          </w:p>
        </w:tc>
      </w:tr>
      <w:tr w:rsidR="00496CD5" w:rsidRPr="00496CD5" w:rsidTr="00496CD5">
        <w:tc>
          <w:tcPr>
            <w:tcW w:w="2948" w:type="dxa"/>
            <w:shd w:val="clear" w:color="auto" w:fill="auto"/>
            <w:vAlign w:val="center"/>
          </w:tcPr>
          <w:p w:rsidR="00496CD5" w:rsidRPr="00496CD5" w:rsidRDefault="00496CD5" w:rsidP="00496CD5">
            <w:pPr>
              <w:spacing w:before="0" w:after="0"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eastAsia="es-CO"/>
              </w:rPr>
            </w:pPr>
            <w:r w:rsidRPr="00496CD5">
              <w:rPr>
                <w:rFonts w:ascii="Segoe UI" w:eastAsia="Times New Roman" w:hAnsi="Segoe UI" w:cs="Segoe UI"/>
                <w:b/>
                <w:sz w:val="21"/>
                <w:szCs w:val="21"/>
                <w:lang w:eastAsia="es-CO"/>
              </w:rPr>
              <w:t>Fin del registro manual de homologaciones</w:t>
            </w:r>
          </w:p>
        </w:tc>
        <w:tc>
          <w:tcPr>
            <w:tcW w:w="6123" w:type="dxa"/>
            <w:shd w:val="clear" w:color="auto" w:fill="auto"/>
          </w:tcPr>
          <w:p w:rsidR="00496CD5" w:rsidRPr="00496CD5" w:rsidRDefault="00496CD5" w:rsidP="00496CD5">
            <w:pPr>
              <w:spacing w:before="0" w:after="0" w:line="300" w:lineRule="atLeast"/>
              <w:rPr>
                <w:rFonts w:ascii="Segoe UI" w:eastAsia="Times New Roman" w:hAnsi="Segoe UI" w:cs="Segoe UI"/>
                <w:sz w:val="21"/>
                <w:szCs w:val="21"/>
                <w:lang w:eastAsia="es-CO"/>
              </w:rPr>
            </w:pPr>
            <w:r w:rsidRPr="00496CD5">
              <w:rPr>
                <w:rFonts w:ascii="Segoe UI" w:eastAsia="Times New Roman" w:hAnsi="Segoe UI" w:cs="Segoe UI"/>
                <w:sz w:val="21"/>
                <w:szCs w:val="21"/>
                <w:lang w:eastAsia="es-CO"/>
              </w:rPr>
              <w:t>Administrando las compañías de la competencia y sus productos homologados directamente en Aldebarán, con información centralizada y disponible para todas las áreas.</w:t>
            </w:r>
          </w:p>
        </w:tc>
      </w:tr>
      <w:tr w:rsidR="00496CD5" w:rsidRPr="00496CD5" w:rsidTr="00496CD5">
        <w:tc>
          <w:tcPr>
            <w:tcW w:w="2948" w:type="dxa"/>
            <w:shd w:val="clear" w:color="auto" w:fill="auto"/>
            <w:vAlign w:val="center"/>
          </w:tcPr>
          <w:p w:rsidR="00496CD5" w:rsidRPr="00496CD5" w:rsidRDefault="00496CD5" w:rsidP="00496CD5">
            <w:pPr>
              <w:spacing w:before="0" w:after="0"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eastAsia="es-CO"/>
              </w:rPr>
            </w:pPr>
            <w:r w:rsidRPr="00496CD5">
              <w:rPr>
                <w:rFonts w:ascii="Segoe UI" w:eastAsia="Times New Roman" w:hAnsi="Segoe UI" w:cs="Segoe UI"/>
                <w:b/>
                <w:sz w:val="21"/>
                <w:szCs w:val="21"/>
                <w:lang w:eastAsia="es-CO"/>
              </w:rPr>
              <w:lastRenderedPageBreak/>
              <w:t>Visión comercial frente a la competencia</w:t>
            </w:r>
          </w:p>
        </w:tc>
        <w:tc>
          <w:tcPr>
            <w:tcW w:w="6123" w:type="dxa"/>
            <w:shd w:val="clear" w:color="auto" w:fill="auto"/>
          </w:tcPr>
          <w:p w:rsidR="00496CD5" w:rsidRPr="00496CD5" w:rsidRDefault="00496CD5" w:rsidP="00496CD5">
            <w:pPr>
              <w:spacing w:before="0" w:after="0" w:line="300" w:lineRule="atLeast"/>
              <w:rPr>
                <w:rFonts w:ascii="Segoe UI" w:eastAsia="Times New Roman" w:hAnsi="Segoe UI" w:cs="Segoe UI"/>
                <w:sz w:val="21"/>
                <w:szCs w:val="21"/>
                <w:lang w:eastAsia="es-CO"/>
              </w:rPr>
            </w:pPr>
            <w:r w:rsidRPr="00496CD5">
              <w:rPr>
                <w:rFonts w:ascii="Segoe UI" w:eastAsia="Times New Roman" w:hAnsi="Segoe UI" w:cs="Segoe UI"/>
                <w:sz w:val="21"/>
                <w:szCs w:val="21"/>
                <w:lang w:eastAsia="es-CO"/>
              </w:rPr>
              <w:t>Consultando qué artículos y referencias de PROMOS también venden o producen los competidores, con su referencia, nombre, precio, enlace e imagen.</w:t>
            </w:r>
          </w:p>
        </w:tc>
      </w:tr>
      <w:tr w:rsidR="00496CD5" w:rsidRPr="00496CD5" w:rsidTr="00496CD5">
        <w:tc>
          <w:tcPr>
            <w:tcW w:w="2948" w:type="dxa"/>
            <w:shd w:val="clear" w:color="auto" w:fill="auto"/>
            <w:vAlign w:val="center"/>
          </w:tcPr>
          <w:p w:rsidR="00496CD5" w:rsidRPr="00496CD5" w:rsidRDefault="00496CD5" w:rsidP="00496CD5">
            <w:pPr>
              <w:spacing w:before="0" w:after="0" w:line="300" w:lineRule="atLeast"/>
              <w:rPr>
                <w:rFonts w:ascii="Segoe UI" w:eastAsia="Times New Roman" w:hAnsi="Segoe UI" w:cs="Segoe UI"/>
                <w:b/>
                <w:sz w:val="21"/>
                <w:szCs w:val="21"/>
                <w:lang w:eastAsia="es-CO"/>
              </w:rPr>
            </w:pPr>
            <w:r w:rsidRPr="00496CD5">
              <w:rPr>
                <w:rFonts w:ascii="Segoe UI" w:eastAsia="Times New Roman" w:hAnsi="Segoe UI" w:cs="Segoe UI"/>
                <w:b/>
                <w:sz w:val="21"/>
                <w:szCs w:val="21"/>
                <w:lang w:eastAsia="es-CO"/>
              </w:rPr>
              <w:t>Crecimiento sin límite de competidores</w:t>
            </w:r>
          </w:p>
        </w:tc>
        <w:tc>
          <w:tcPr>
            <w:tcW w:w="6123" w:type="dxa"/>
            <w:shd w:val="clear" w:color="auto" w:fill="auto"/>
          </w:tcPr>
          <w:p w:rsidR="00496CD5" w:rsidRPr="00496CD5" w:rsidRDefault="00496CD5" w:rsidP="00496CD5">
            <w:pPr>
              <w:spacing w:before="0" w:after="0" w:line="300" w:lineRule="atLeast"/>
              <w:rPr>
                <w:rFonts w:ascii="Segoe UI" w:eastAsia="Times New Roman" w:hAnsi="Segoe UI" w:cs="Segoe UI"/>
                <w:sz w:val="21"/>
                <w:szCs w:val="21"/>
                <w:lang w:eastAsia="es-CO"/>
              </w:rPr>
            </w:pPr>
            <w:r w:rsidRPr="00496CD5">
              <w:rPr>
                <w:rFonts w:ascii="Segoe UI" w:eastAsia="Times New Roman" w:hAnsi="Segoe UI" w:cs="Segoe UI"/>
                <w:sz w:val="21"/>
                <w:szCs w:val="21"/>
                <w:lang w:eastAsia="es-CO"/>
              </w:rPr>
              <w:t>Permitiendo registrar nuevas compañías de la competencia en cualquier momento, sin cambios en el sistema.</w:t>
            </w:r>
          </w:p>
        </w:tc>
      </w:tr>
    </w:tbl>
    <w:p w:rsidR="006178AD" w:rsidRDefault="006178AD"/>
    <w:p w:rsidR="006178AD" w:rsidRDefault="00B4047E">
      <w:pPr>
        <w:pStyle w:val="Ttulo1"/>
      </w:pPr>
      <w:r>
        <w:rPr>
          <w:b w:val="0"/>
        </w:rPr>
        <w:t>DEFINICIONES FUNCIONALES</w:t>
      </w:r>
    </w:p>
    <w:p w:rsidR="00EE282A" w:rsidRPr="00EE282A" w:rsidRDefault="00EE282A" w:rsidP="00DF087D">
      <w:pPr>
        <w:pStyle w:val="Ttulo2"/>
      </w:pPr>
      <w:r w:rsidRPr="00EE282A">
        <w:t>Reporte de Referencias del Proveedor</w:t>
      </w:r>
    </w:p>
    <w:p w:rsidR="00E92FEA" w:rsidRDefault="00E92FEA" w:rsidP="00E92FEA">
      <w:r w:rsidRPr="00E92FEA">
        <w:t>Reporte existente que presenta, por cada proveedor, las líneas, artículos y referencias que suministra, junto con el inventario de cada referencia y su distribución por bodega.</w:t>
      </w:r>
    </w:p>
    <w:p w:rsidR="00EE282A" w:rsidRPr="00EE282A" w:rsidRDefault="00EE282A" w:rsidP="00DF087D">
      <w:pPr>
        <w:pStyle w:val="Ttulo2"/>
      </w:pPr>
      <w:r w:rsidRPr="00EE282A">
        <w:t>Condición de filtro</w:t>
      </w:r>
    </w:p>
    <w:p w:rsidR="00E92FEA" w:rsidRDefault="00E92FEA" w:rsidP="00E92FEA">
      <w:r w:rsidRPr="00E92FEA">
        <w:t>Interruptor (Sí/No</w:t>
      </w:r>
      <w:r w:rsidR="00910893">
        <w:t>/Todos</w:t>
      </w:r>
      <w:r w:rsidRPr="00E92FEA">
        <w:t>) que, al activarse, limita el reporte a los artículos o referencias que cumplen la condición. Desactivado</w:t>
      </w:r>
      <w:r w:rsidR="00910893">
        <w:t xml:space="preserve"> </w:t>
      </w:r>
      <w:r w:rsidR="00910893" w:rsidRPr="00910893">
        <w:t xml:space="preserve">limita el reporte a los artículos o referencias que </w:t>
      </w:r>
      <w:r w:rsidR="00910893">
        <w:t xml:space="preserve">NO la </w:t>
      </w:r>
      <w:r w:rsidR="00910893" w:rsidRPr="00910893">
        <w:t>cumplen</w:t>
      </w:r>
      <w:r w:rsidRPr="00E92FEA">
        <w:t xml:space="preserve">, </w:t>
      </w:r>
      <w:r w:rsidR="00910893">
        <w:t xml:space="preserve">y En - </w:t>
      </w:r>
      <w:r w:rsidRPr="00E92FEA">
        <w:t>el reporte incluye todos los registros.</w:t>
      </w:r>
    </w:p>
    <w:p w:rsidR="00EE282A" w:rsidRPr="00EE282A" w:rsidRDefault="00EE282A" w:rsidP="00DF087D">
      <w:pPr>
        <w:pStyle w:val="Ttulo2"/>
      </w:pPr>
      <w:r w:rsidRPr="00EE282A">
        <w:t>Nivel más específico</w:t>
      </w:r>
    </w:p>
    <w:p w:rsidR="00E92FEA" w:rsidRDefault="00E92FEA" w:rsidP="00E92FEA">
      <w:r w:rsidRPr="00E92FEA">
        <w:t>Regla del filtro jerárquico: si se eligen referencias se muestran solo esas; si se eligen artículos, todas sus referencias; si solo se elige la línea, todo lo de la línea.</w:t>
      </w:r>
    </w:p>
    <w:p w:rsidR="00EE282A" w:rsidRPr="00EE282A" w:rsidRDefault="00EE282A" w:rsidP="00DF087D">
      <w:pPr>
        <w:pStyle w:val="Ttulo2"/>
      </w:pPr>
      <w:r w:rsidRPr="00EE282A">
        <w:t>Detalle de inventario y bodegas</w:t>
      </w:r>
    </w:p>
    <w:p w:rsidR="00E92FEA" w:rsidRDefault="00E92FEA" w:rsidP="00E92FEA">
      <w:r w:rsidRPr="00E92FEA">
        <w:t>Cantidades pedida, reservada y disponible de cada referencia y su distribución en Bodega Local y Zona Franca.</w:t>
      </w:r>
    </w:p>
    <w:p w:rsidR="00EE282A" w:rsidRPr="00EE282A" w:rsidRDefault="00EE282A" w:rsidP="00DF087D">
      <w:pPr>
        <w:pStyle w:val="Ttulo2"/>
      </w:pPr>
      <w:r w:rsidRPr="00EE282A">
        <w:t>Exportación a Excel</w:t>
      </w:r>
    </w:p>
    <w:p w:rsidR="00E92FEA" w:rsidRDefault="00E92FEA" w:rsidP="00E92FEA">
      <w:r w:rsidRPr="00E92FEA">
        <w:t>Descarga del resultado filtrado en un archivo Excel, con el mismo contenido que se presenta en pantalla.</w:t>
      </w:r>
    </w:p>
    <w:p w:rsidR="00EE282A" w:rsidRPr="00EE282A" w:rsidRDefault="00EE282A" w:rsidP="00DF087D">
      <w:pPr>
        <w:pStyle w:val="Ttulo2"/>
      </w:pPr>
      <w:r w:rsidRPr="00EE282A">
        <w:t>Compañía de la Competencia</w:t>
      </w:r>
    </w:p>
    <w:p w:rsidR="00E92FEA" w:rsidRDefault="00E92FEA" w:rsidP="00E92FEA">
      <w:r w:rsidRPr="00E92FEA">
        <w:t>Empresa que vende o produce artículos equivalentes a los de PROMOS.</w:t>
      </w:r>
    </w:p>
    <w:p w:rsidR="00EE282A" w:rsidRPr="00EE282A" w:rsidRDefault="00EE282A" w:rsidP="00DF087D">
      <w:pPr>
        <w:pStyle w:val="Ttulo2"/>
      </w:pPr>
      <w:r w:rsidRPr="00EE282A">
        <w:t>Homologación</w:t>
      </w:r>
    </w:p>
    <w:p w:rsidR="00E92FEA" w:rsidRDefault="00E92FEA" w:rsidP="00E92FEA">
      <w:r w:rsidRPr="00E92FEA">
        <w:t>Relación entre un artículo de PROMOS, o una referencia específica del artículo, y un producto de una compañía de la competencia que también lo vende o produce. Es información de consulta y no interviene en las operaciones de inventario.</w:t>
      </w:r>
    </w:p>
    <w:p w:rsidR="006178AD" w:rsidRDefault="00B4047E">
      <w:pPr>
        <w:pStyle w:val="Ttulo1"/>
      </w:pPr>
      <w:r>
        <w:rPr>
          <w:b w:val="0"/>
        </w:rPr>
        <w:lastRenderedPageBreak/>
        <w:t>ALCANCE FUNCIONAL</w:t>
      </w:r>
    </w:p>
    <w:p w:rsidR="00EE282A" w:rsidRPr="00EE282A" w:rsidRDefault="00EE282A" w:rsidP="00DF087D">
      <w:pPr>
        <w:pStyle w:val="Ttulo2"/>
      </w:pPr>
      <w:r w:rsidRPr="00EE282A">
        <w:t>1. Filtro por Línea, Artículo y Referencia</w:t>
      </w:r>
    </w:p>
    <w:p w:rsidR="00E92FEA" w:rsidRDefault="00E92FEA" w:rsidP="00E92FEA">
      <w:r w:rsidRPr="00E92FEA">
        <w:t>Se reemplazará el selector actual de referencias por el selector jerárquico utilizado en el Reporte de Artículos y Referencias, que permite filtrar por Línea, por Artículo(s) o por Referencia(s), aplicando el nivel más específico seleccionado. Se conserva el filtro por Proveedor.</w:t>
      </w:r>
    </w:p>
    <w:p w:rsidR="00EE282A" w:rsidRPr="00EE282A" w:rsidRDefault="00EE282A" w:rsidP="00DF087D">
      <w:pPr>
        <w:pStyle w:val="Ttulo2"/>
      </w:pPr>
      <w:r w:rsidRPr="00EE282A">
        <w:t>2. Condiciones de filtro de artículos y referencias</w:t>
      </w:r>
    </w:p>
    <w:p w:rsidR="00E92FEA" w:rsidRDefault="00E92FEA" w:rsidP="00E92FEA">
      <w:r w:rsidRPr="00E92FEA">
        <w:t>Se incorporarán las siguientes condiciones de filtro:</w:t>
      </w:r>
    </w:p>
    <w:p w:rsidR="00E92FEA" w:rsidRDefault="00910893" w:rsidP="00B11176">
      <w:pPr>
        <w:pStyle w:val="Prrafodelista"/>
        <w:numPr>
          <w:ilvl w:val="0"/>
          <w:numId w:val="2"/>
        </w:numPr>
      </w:pPr>
      <w:r>
        <w:t>A</w:t>
      </w:r>
      <w:r w:rsidR="00E92FEA">
        <w:t>rtículos activos.</w:t>
      </w:r>
    </w:p>
    <w:p w:rsidR="00E92FEA" w:rsidRDefault="00910893" w:rsidP="00B11176">
      <w:pPr>
        <w:pStyle w:val="Prrafodelista"/>
        <w:numPr>
          <w:ilvl w:val="0"/>
          <w:numId w:val="2"/>
        </w:numPr>
      </w:pPr>
      <w:r>
        <w:t>A</w:t>
      </w:r>
      <w:r w:rsidR="00E92FEA">
        <w:t>rtículos visibles en página.</w:t>
      </w:r>
    </w:p>
    <w:p w:rsidR="00E92FEA" w:rsidRDefault="00910893" w:rsidP="00B11176">
      <w:pPr>
        <w:pStyle w:val="Prrafodelista"/>
        <w:numPr>
          <w:ilvl w:val="0"/>
          <w:numId w:val="2"/>
        </w:numPr>
      </w:pPr>
      <w:r>
        <w:t>P</w:t>
      </w:r>
      <w:r w:rsidR="00E92FEA">
        <w:t>roducto nacional.</w:t>
      </w:r>
    </w:p>
    <w:p w:rsidR="00E92FEA" w:rsidRDefault="00910893" w:rsidP="00B11176">
      <w:pPr>
        <w:pStyle w:val="Prrafodelista"/>
        <w:numPr>
          <w:ilvl w:val="0"/>
          <w:numId w:val="2"/>
        </w:numPr>
      </w:pPr>
      <w:r>
        <w:t>I</w:t>
      </w:r>
      <w:r w:rsidR="00E92FEA">
        <w:t>mportación especial.</w:t>
      </w:r>
    </w:p>
    <w:p w:rsidR="00E92FEA" w:rsidRDefault="00910893" w:rsidP="00B11176">
      <w:pPr>
        <w:pStyle w:val="Prrafodelista"/>
        <w:numPr>
          <w:ilvl w:val="0"/>
          <w:numId w:val="2"/>
        </w:numPr>
      </w:pPr>
      <w:r>
        <w:t>A</w:t>
      </w:r>
      <w:r w:rsidR="00E92FEA">
        <w:t xml:space="preserve">rtículos en </w:t>
      </w:r>
      <w:r>
        <w:t>oferta</w:t>
      </w:r>
      <w:r w:rsidR="00E92FEA">
        <w:t>.</w:t>
      </w:r>
    </w:p>
    <w:p w:rsidR="00910893" w:rsidRDefault="00910893" w:rsidP="00B11176">
      <w:pPr>
        <w:pStyle w:val="Prrafodelista"/>
        <w:numPr>
          <w:ilvl w:val="0"/>
          <w:numId w:val="2"/>
        </w:numPr>
      </w:pPr>
      <w:r>
        <w:t>Artículos con precio bomba.</w:t>
      </w:r>
    </w:p>
    <w:p w:rsidR="00E92FEA" w:rsidRDefault="00910893" w:rsidP="00B11176">
      <w:pPr>
        <w:pStyle w:val="Prrafodelista"/>
        <w:numPr>
          <w:ilvl w:val="0"/>
          <w:numId w:val="2"/>
        </w:numPr>
      </w:pPr>
      <w:r>
        <w:t>R</w:t>
      </w:r>
      <w:r w:rsidR="00E92FEA">
        <w:t>eferencias activas.</w:t>
      </w:r>
    </w:p>
    <w:p w:rsidR="00E92FEA" w:rsidRDefault="00910893" w:rsidP="00B11176">
      <w:pPr>
        <w:pStyle w:val="Prrafodelista"/>
        <w:numPr>
          <w:ilvl w:val="0"/>
          <w:numId w:val="2"/>
        </w:numPr>
      </w:pPr>
      <w:r>
        <w:t>R</w:t>
      </w:r>
      <w:r w:rsidR="00E92FEA">
        <w:t>eferencias agotadas.</w:t>
      </w:r>
    </w:p>
    <w:p w:rsidR="00E92FEA" w:rsidRDefault="00E92FEA" w:rsidP="00E92FEA">
      <w:r w:rsidRPr="00E92FEA">
        <w:t>Las condiciones activas también limitan las líneas, artículos y referencias que ofrece el selector, con el mismo comportamiento del Reporte de Artículos y Referencias.</w:t>
      </w:r>
    </w:p>
    <w:p w:rsidR="00EE282A" w:rsidRPr="00EE282A" w:rsidRDefault="00EE282A" w:rsidP="00DF087D">
      <w:pPr>
        <w:pStyle w:val="Ttulo2"/>
      </w:pPr>
      <w:r w:rsidRPr="00EE282A">
        <w:t>3. Opción "Mostrar inventario y bodegas"</w:t>
      </w:r>
    </w:p>
    <w:p w:rsidR="00E92FEA" w:rsidRDefault="00E92FEA" w:rsidP="00E92FEA">
      <w:r w:rsidRPr="00E92FEA">
        <w:t>Se incorporará la opción Mostrar inventario y bodegas, activada por defecto: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Sí: el reporte se presenta como actualmente, con las cantidades pedida, reservada y disponible y su distribución por bodega.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No: el reporte presenta únicamente las referencias de cada proveedor (código, nombre y nombre para el proveedor), sin saldos de inventario ni cantidades por bodega.</w:t>
      </w:r>
    </w:p>
    <w:p w:rsidR="00E92FEA" w:rsidRDefault="00E92FEA" w:rsidP="00E92FEA">
      <w:r w:rsidRPr="00E92FEA">
        <w:t>Esta opción aplica a la consulta en pantalla, a la impresión, al PDF y a la exportación a Excel.</w:t>
      </w:r>
    </w:p>
    <w:p w:rsidR="00EE282A" w:rsidRPr="00EE282A" w:rsidRDefault="00EE282A" w:rsidP="00DF087D">
      <w:pPr>
        <w:pStyle w:val="Ttulo2"/>
      </w:pPr>
      <w:r w:rsidRPr="00EE282A">
        <w:t>4. Exportación a Excel</w:t>
      </w:r>
    </w:p>
    <w:p w:rsidR="00E92FEA" w:rsidRDefault="00E92FEA" w:rsidP="00E92FEA">
      <w:r w:rsidRPr="00E92FEA">
        <w:t>Se incorporará la exportación del resultado filtrado a Excel, con una fila por referencia que incluye los datos del proveedor, la línea y el artículo. El archivo incluirá o no las columnas de inventario y bodegas según la opción seleccionada.</w:t>
      </w:r>
    </w:p>
    <w:p w:rsidR="00EE282A" w:rsidRPr="00EE282A" w:rsidRDefault="00EE282A" w:rsidP="00DF087D">
      <w:pPr>
        <w:pStyle w:val="Ttulo2"/>
      </w:pPr>
      <w:r w:rsidRPr="00EE282A">
        <w:t>5. Integración con la Funcionalidad Existente</w:t>
      </w:r>
    </w:p>
    <w:p w:rsidR="00E92FEA" w:rsidRDefault="00E92FEA" w:rsidP="00E92FEA">
      <w:r w:rsidRPr="00E92FEA">
        <w:t xml:space="preserve">El ajuste se realizará sobre el reporte actual, conservando su ubicación en el menú, los perfiles de acceso y su presentación por defecto. La consulta se </w:t>
      </w:r>
      <w:r w:rsidRPr="00E92FEA">
        <w:lastRenderedPageBreak/>
        <w:t>optimizará para soportar los nuevos filtros con tiempos de respuesta adecuados, incluso sobre el catálogo completo.</w:t>
      </w:r>
    </w:p>
    <w:p w:rsidR="00EE282A" w:rsidRPr="00EE282A" w:rsidRDefault="00EE282A" w:rsidP="00DF087D">
      <w:pPr>
        <w:pStyle w:val="Ttulo2"/>
      </w:pPr>
      <w:r w:rsidRPr="00EE282A">
        <w:t>6. Catálogo de la Competencia: Compañías</w:t>
      </w:r>
    </w:p>
    <w:p w:rsidR="00E92FEA" w:rsidRDefault="00E92FEA" w:rsidP="00E92FEA">
      <w:r w:rsidRPr="00E92FEA">
        <w:t>Se incorporará la opción Administración → Competencia → Compañías de la competencia, para crear, editar, consultar e inactivar compañías con los siguientes datos: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Obligatorios: Nombre y Sitio web.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Opcionales: Contacto, Teléfono, País, Departamento/Estado y Ciudad. El Departamento se habilita al seleccionar un País y la Ciudad al seleccionar un Departamento.</w:t>
      </w:r>
    </w:p>
    <w:p w:rsidR="00EE282A" w:rsidRPr="00EE282A" w:rsidRDefault="00EE282A" w:rsidP="00DF087D">
      <w:pPr>
        <w:pStyle w:val="Ttulo2"/>
      </w:pPr>
      <w:r w:rsidRPr="00EE282A">
        <w:t>7. Catálogo de la Competencia: Homologaciones</w:t>
      </w:r>
    </w:p>
    <w:p w:rsidR="00E92FEA" w:rsidRDefault="00E92FEA" w:rsidP="00E92FEA">
      <w:r w:rsidRPr="00E92FEA">
        <w:t>Se incorporará la opción Administración → Competencia → Homologaciones con la competencia, para registrar, editar, consultar e inactivar las homologaciones. Cada homologación puede registrarse a nivel de Artículo o de Artículo y Referencia, según convenga, con los siguientes datos: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Obligatorios: Compañía de la competencia, Artículo de PROMOS, y Referencia y Nombre del producto en la competencia.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Opcionales: Referencia de PROMOS, Enlace al producto, Precio de la competencia e Imagen del producto.</w:t>
      </w:r>
    </w:p>
    <w:p w:rsidR="00EE282A" w:rsidRPr="00EE282A" w:rsidRDefault="00EE282A" w:rsidP="00DF087D">
      <w:pPr>
        <w:pStyle w:val="Ttulo2"/>
      </w:pPr>
      <w:r w:rsidRPr="00EE282A">
        <w:t>8. Reporte de Homologaciones con la Competencia</w:t>
      </w:r>
    </w:p>
    <w:p w:rsidR="00E92FEA" w:rsidRDefault="00E92FEA" w:rsidP="00E92FEA">
      <w:r w:rsidRPr="00E92FEA">
        <w:t>Se incorporará la opción Reportes → Catálogos → Homologaciones con la competencia, con los siguientes filtros: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Línea, Artículo y Referencia, ofreciendo únicamente los artículos y referencias que tengan homologaciones.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Compañía(s) de la competencia, referencia y nombre del producto del competidor.</w:t>
      </w:r>
    </w:p>
    <w:p w:rsidR="00E92FEA" w:rsidRDefault="00E92FEA" w:rsidP="00E92FEA">
      <w:r w:rsidRPr="00E92FEA">
        <w:t>El reporte presentará, por compañía de la competencia, los artículos y referencias de PROMOS con sus productos homologados (referencia, nombre, precio, enlace e imagen), con opciones de Imprimir, Guardar PDF y Exportar a Excel (sin imágenes).</w:t>
      </w:r>
    </w:p>
    <w:p w:rsidR="00EE282A" w:rsidRPr="00EE282A" w:rsidRDefault="00EE282A" w:rsidP="00DF087D">
      <w:pPr>
        <w:pStyle w:val="Ttulo2"/>
      </w:pPr>
      <w:r w:rsidRPr="00EE282A">
        <w:t>9. Seguridad</w:t>
      </w:r>
    </w:p>
    <w:p w:rsidR="00E92FEA" w:rsidRDefault="00E92FEA" w:rsidP="00E92FEA">
      <w:r w:rsidRPr="00E92FEA">
        <w:t>Se creará el rol Catálogo de la competencia, que da acceso a la administración de compañías y homologaciones. El reporte estará disponible para los roles Administrador y Consulta de reportes.</w:t>
      </w:r>
    </w:p>
    <w:p w:rsidR="006178AD" w:rsidRDefault="00B4047E">
      <w:pPr>
        <w:pStyle w:val="Ttulo1"/>
      </w:pPr>
      <w:r>
        <w:rPr>
          <w:b w:val="0"/>
        </w:rPr>
        <w:lastRenderedPageBreak/>
        <w:t>IMPLEMENTACIÓN</w:t>
      </w:r>
    </w:p>
    <w:p w:rsidR="006178AD" w:rsidRDefault="00B4047E" w:rsidP="00B056F5">
      <w:pPr>
        <w:pStyle w:val="Ttulo2"/>
      </w:pPr>
      <w:r>
        <w:t>Incluye:</w:t>
      </w:r>
    </w:p>
    <w:p w:rsidR="00B056F5" w:rsidRDefault="00B056F5" w:rsidP="00B056F5">
      <w:pPr>
        <w:pStyle w:val="Ttulo3"/>
        <w:spacing w:line="300" w:lineRule="atLeast"/>
        <w:rPr>
          <w:rFonts w:ascii="Segoe UI" w:hAnsi="Segoe UI" w:cs="Segoe UI"/>
          <w:szCs w:val="27"/>
        </w:rPr>
      </w:pPr>
      <w:r>
        <w:rPr>
          <w:rFonts w:ascii="Segoe UI" w:hAnsi="Segoe UI" w:cs="Segoe UI"/>
        </w:rPr>
        <w:t>Filtros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Selector jerárquico de Línea, Artículo y Referencia, junto al filtro de Proveedor.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Siete condiciones de filtro de artículos y referencias.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Resumen de los filtros aplicados en pantalla y en los documentos generados.</w:t>
      </w:r>
    </w:p>
    <w:p w:rsidR="00B056F5" w:rsidRDefault="00B056F5" w:rsidP="00B056F5">
      <w:pPr>
        <w:pStyle w:val="Ttulo3"/>
        <w:spacing w:line="300" w:lineRule="atLeast"/>
        <w:rPr>
          <w:rFonts w:ascii="Segoe UI" w:hAnsi="Segoe UI" w:cs="Segoe UI"/>
          <w:szCs w:val="27"/>
        </w:rPr>
      </w:pPr>
      <w:r>
        <w:rPr>
          <w:rFonts w:ascii="Segoe UI" w:hAnsi="Segoe UI" w:cs="Segoe UI"/>
        </w:rPr>
        <w:t>Visualización del inventario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Opción Mostrar inventario y bodegas, activada por defecto.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Presentación del reporte con o sin inventario en pantalla, impresión y PDF.</w:t>
      </w:r>
    </w:p>
    <w:p w:rsidR="00B056F5" w:rsidRDefault="00B056F5" w:rsidP="00B056F5">
      <w:pPr>
        <w:pStyle w:val="Ttulo3"/>
        <w:spacing w:line="300" w:lineRule="atLeast"/>
        <w:rPr>
          <w:rFonts w:ascii="Segoe UI" w:hAnsi="Segoe UI" w:cs="Segoe UI"/>
          <w:szCs w:val="27"/>
        </w:rPr>
      </w:pPr>
      <w:r>
        <w:rPr>
          <w:rFonts w:ascii="Segoe UI" w:hAnsi="Segoe UI" w:cs="Segoe UI"/>
        </w:rPr>
        <w:t>Exportación a Excel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Exportación del resultado filtrado, con o sin columnas de inventario y bodegas.</w:t>
      </w:r>
    </w:p>
    <w:p w:rsidR="00B056F5" w:rsidRDefault="00B056F5" w:rsidP="00B056F5">
      <w:pPr>
        <w:pStyle w:val="Ttulo3"/>
        <w:spacing w:line="300" w:lineRule="atLeast"/>
        <w:rPr>
          <w:rFonts w:ascii="Segoe UI" w:hAnsi="Segoe UI" w:cs="Segoe UI"/>
          <w:szCs w:val="27"/>
        </w:rPr>
      </w:pPr>
      <w:r>
        <w:rPr>
          <w:rFonts w:ascii="Segoe UI" w:hAnsi="Segoe UI" w:cs="Segoe UI"/>
        </w:rPr>
        <w:t>Catálogo de la Competencia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Administración de compañías de la competencia con ubicación geográfica opcional.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Administración de homologaciones a nivel de Artículo o de Artículo y Referencia, con carga de imagen.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Reporte de homologaciones con filtros, impresión, PDF y Excel.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Rol Catálogo de la competencia y opciones de menú.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Creación de las estructuras de datos requeridas para el catálogo.</w:t>
      </w:r>
    </w:p>
    <w:p w:rsidR="00B056F5" w:rsidRDefault="00B056F5" w:rsidP="00B056F5">
      <w:pPr>
        <w:pStyle w:val="Ttulo3"/>
        <w:spacing w:line="300" w:lineRule="atLeast"/>
        <w:rPr>
          <w:rFonts w:ascii="Segoe UI" w:hAnsi="Segoe UI" w:cs="Segoe UI"/>
          <w:szCs w:val="27"/>
        </w:rPr>
      </w:pPr>
      <w:r>
        <w:rPr>
          <w:rFonts w:ascii="Segoe UI" w:hAnsi="Segoe UI" w:cs="Segoe UI"/>
        </w:rPr>
        <w:t>Integración y Pruebas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Optimización de la consulta del reporte para los nuevos filtros.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Pruebas funcionales del ajuste y verificación de los reportes relacionados.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Corrección de defectos identificados durante las pruebas asociadas al alcance definido.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Manuales funcional y técnico.</w:t>
      </w:r>
    </w:p>
    <w:p w:rsidR="00517F8B" w:rsidRDefault="00B4047E" w:rsidP="00B57B53">
      <w:pPr>
        <w:pStyle w:val="Ttulo2"/>
      </w:pPr>
      <w:r>
        <w:t>No incluye: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Uso de las homologaciones en operaciones de inventario, compras, pedidos o precios de PROMOS.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Carga masiva o migración del registro manual de homologaciones.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Consulta automática de precios o datos en los sitios web de la competencia.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Condiciones de filtro por cantidades mínimas.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lastRenderedPageBreak/>
        <w:t>Creación de estructuras de datos distintas a las requeridas por el Catálogo de la Competencia.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Cambios en la lógica de inventario, bodegas, proveedores o artículos.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Cambios en otros reportes distintos al Reporte de Referencias del Proveedor.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Mantenimiento o corrección de datos de proveedores, artículos o referencias.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Implementación de nuevos perfiles, roles o modelos de seguridad.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Cambios en la infraestructura tecnológica, servidores o base de datos.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Integraciones con aplicaciones o sistemas externos.</w:t>
      </w:r>
    </w:p>
    <w:p w:rsidR="00E92FEA" w:rsidRDefault="00E92FEA" w:rsidP="00B11176">
      <w:pPr>
        <w:pStyle w:val="Prrafodelista"/>
        <w:numPr>
          <w:ilvl w:val="0"/>
          <w:numId w:val="2"/>
        </w:numPr>
      </w:pPr>
      <w:r>
        <w:t>Capacitación formal de usuarios.</w:t>
      </w:r>
    </w:p>
    <w:p w:rsidR="00B57B53" w:rsidRPr="00B57B53" w:rsidRDefault="00B57B53" w:rsidP="00B57B53"/>
    <w:p w:rsidR="00B57B53" w:rsidRPr="00B57B53" w:rsidRDefault="00B57B53" w:rsidP="00B57B53">
      <w:pPr>
        <w:pStyle w:val="Ttulo1"/>
        <w:rPr>
          <w:b w:val="0"/>
        </w:rPr>
      </w:pPr>
      <w:r w:rsidRPr="00B57B53">
        <w:rPr>
          <w:b w:val="0"/>
        </w:rPr>
        <w:t>Tiempo de desarrollo:</w:t>
      </w:r>
    </w:p>
    <w:p w:rsidR="00B57B53" w:rsidRPr="00CE4AE9" w:rsidRDefault="00B57B53" w:rsidP="00B57B53"/>
    <w:tbl>
      <w:tblPr>
        <w:tblW w:w="8112" w:type="dxa"/>
        <w:tblInd w:w="249" w:type="dxa"/>
        <w:tblCellMar>
          <w:top w:w="64" w:type="dxa"/>
          <w:left w:w="107" w:type="dxa"/>
          <w:right w:w="38" w:type="dxa"/>
        </w:tblCellMar>
        <w:tblLook w:val="04A0" w:firstRow="1" w:lastRow="0" w:firstColumn="1" w:lastColumn="0" w:noHBand="0" w:noVBand="1"/>
      </w:tblPr>
      <w:tblGrid>
        <w:gridCol w:w="7398"/>
        <w:gridCol w:w="714"/>
      </w:tblGrid>
      <w:tr w:rsidR="00B57B53" w:rsidRPr="002E0BFB" w:rsidTr="00EB0E8D">
        <w:trPr>
          <w:trHeight w:val="353"/>
        </w:trPr>
        <w:tc>
          <w:tcPr>
            <w:tcW w:w="811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F4761" w:themeFill="accent1" w:themeFillShade="BF"/>
          </w:tcPr>
          <w:p w:rsidR="00B57B53" w:rsidRPr="00EE3A7E" w:rsidRDefault="00B57B53" w:rsidP="00EB0E8D">
            <w:pPr>
              <w:ind w:right="71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 xml:space="preserve">Fases y duraciones del proyecto (días hábiles) </w:t>
            </w:r>
          </w:p>
        </w:tc>
      </w:tr>
      <w:tr w:rsidR="00B57B53" w:rsidRPr="00CE6D3D" w:rsidTr="00EB0E8D">
        <w:trPr>
          <w:trHeight w:val="325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7B53" w:rsidRPr="00EE3A7E" w:rsidRDefault="00B57B53" w:rsidP="00EB0E8D">
            <w:pPr>
              <w:rPr>
                <w:rFonts w:ascii="Century Gothic" w:hAnsi="Century Gothic"/>
                <w:sz w:val="20"/>
                <w:szCs w:val="20"/>
              </w:rPr>
            </w:pPr>
            <w:r w:rsidRPr="00EE3A7E">
              <w:rPr>
                <w:rFonts w:ascii="Century Gothic" w:hAnsi="Century Gothic"/>
                <w:sz w:val="20"/>
                <w:szCs w:val="20"/>
              </w:rPr>
              <w:t xml:space="preserve">Preparación de equipo y ambientes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7B53" w:rsidRPr="00CE6D3D" w:rsidRDefault="00B57B53" w:rsidP="00EB0E8D">
            <w:pPr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0.5</w:t>
            </w:r>
          </w:p>
        </w:tc>
      </w:tr>
      <w:tr w:rsidR="00B57B53" w:rsidRPr="00CE6D3D" w:rsidTr="00EB0E8D">
        <w:trPr>
          <w:trHeight w:val="326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7B53" w:rsidRPr="00CE6D3D" w:rsidRDefault="00B57B53" w:rsidP="00EB0E8D">
            <w:pPr>
              <w:rPr>
                <w:rFonts w:ascii="Century Gothic" w:hAnsi="Century Gothic"/>
                <w:sz w:val="20"/>
                <w:szCs w:val="20"/>
              </w:rPr>
            </w:pPr>
            <w:r w:rsidRPr="00CE6D3D">
              <w:rPr>
                <w:rFonts w:ascii="Century Gothic" w:hAnsi="Century Gothic"/>
                <w:sz w:val="20"/>
                <w:szCs w:val="20"/>
              </w:rPr>
              <w:t xml:space="preserve">Exploración del negocio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7B53" w:rsidRPr="00CE6D3D" w:rsidRDefault="00B57B53" w:rsidP="00EB0E8D">
            <w:pPr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</w:t>
            </w:r>
          </w:p>
        </w:tc>
      </w:tr>
      <w:tr w:rsidR="00B57B53" w:rsidRPr="00CE6D3D" w:rsidTr="00EB0E8D">
        <w:trPr>
          <w:trHeight w:val="324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7B53" w:rsidRPr="00305062" w:rsidRDefault="00B57B53" w:rsidP="00B04B7B">
            <w:pPr>
              <w:rPr>
                <w:rFonts w:ascii="Century Gothic" w:hAnsi="Century Gothic"/>
                <w:sz w:val="20"/>
                <w:szCs w:val="20"/>
              </w:rPr>
            </w:pPr>
            <w:r w:rsidRPr="00305062">
              <w:rPr>
                <w:rFonts w:ascii="Century Gothic" w:hAnsi="Century Gothic"/>
                <w:sz w:val="20"/>
                <w:szCs w:val="20"/>
              </w:rPr>
              <w:t>Desarrollo del sistema - (</w:t>
            </w:r>
            <w:r w:rsidR="00B04B7B">
              <w:rPr>
                <w:rFonts w:ascii="Century Gothic" w:hAnsi="Century Gothic"/>
                <w:sz w:val="20"/>
                <w:szCs w:val="20"/>
              </w:rPr>
              <w:t>1</w:t>
            </w:r>
            <w:r w:rsidRPr="00305062">
              <w:rPr>
                <w:rFonts w:ascii="Century Gothic" w:hAnsi="Century Gothic"/>
                <w:sz w:val="20"/>
                <w:szCs w:val="20"/>
              </w:rPr>
              <w:t>) Iteraciones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7B53" w:rsidRPr="00305062" w:rsidRDefault="00B04B7B" w:rsidP="0085318D">
            <w:pPr>
              <w:tabs>
                <w:tab w:val="left" w:pos="334"/>
                <w:tab w:val="right" w:pos="500"/>
              </w:tabs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18</w:t>
            </w:r>
          </w:p>
        </w:tc>
      </w:tr>
      <w:tr w:rsidR="00B57B53" w:rsidRPr="00CE6D3D" w:rsidTr="00EB0E8D">
        <w:trPr>
          <w:trHeight w:val="326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7B53" w:rsidRPr="00EE3A7E" w:rsidRDefault="00B57B53" w:rsidP="00EB0E8D">
            <w:pPr>
              <w:rPr>
                <w:rFonts w:ascii="Century Gothic" w:hAnsi="Century Gothic"/>
                <w:sz w:val="20"/>
                <w:szCs w:val="20"/>
              </w:rPr>
            </w:pPr>
            <w:r w:rsidRPr="00EE3A7E">
              <w:rPr>
                <w:rFonts w:ascii="Century Gothic" w:hAnsi="Century Gothic"/>
                <w:sz w:val="20"/>
                <w:szCs w:val="20"/>
              </w:rPr>
              <w:t>Documentación, pruebas integrales, estabilización y capacitación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7B53" w:rsidRPr="00CE6D3D" w:rsidRDefault="00B04B7B" w:rsidP="00EB0E8D">
            <w:pPr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B57B53" w:rsidRPr="00CE6D3D" w:rsidTr="00EB0E8D">
        <w:trPr>
          <w:trHeight w:val="324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7B53" w:rsidRPr="00CE6D3D" w:rsidRDefault="00B57B53" w:rsidP="00EB0E8D">
            <w:pPr>
              <w:rPr>
                <w:rFonts w:ascii="Century Gothic" w:hAnsi="Century Gothic"/>
                <w:sz w:val="20"/>
                <w:szCs w:val="20"/>
              </w:rPr>
            </w:pPr>
            <w:r w:rsidRPr="00CE6D3D">
              <w:rPr>
                <w:rFonts w:ascii="Century Gothic" w:hAnsi="Century Gothic"/>
                <w:sz w:val="20"/>
                <w:szCs w:val="20"/>
              </w:rPr>
              <w:t xml:space="preserve">Instalación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7B53" w:rsidRPr="00CE6D3D" w:rsidRDefault="00B57B53" w:rsidP="00EB0E8D">
            <w:pPr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0.5</w:t>
            </w:r>
          </w:p>
        </w:tc>
      </w:tr>
      <w:tr w:rsidR="00B57B53" w:rsidRPr="00CE6D3D" w:rsidTr="00EB0E8D">
        <w:trPr>
          <w:trHeight w:val="342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7B53" w:rsidRPr="00CE6D3D" w:rsidRDefault="00B57B53" w:rsidP="00EB0E8D">
            <w:pPr>
              <w:rPr>
                <w:rFonts w:ascii="Century Gothic" w:hAnsi="Century Gothic"/>
                <w:sz w:val="20"/>
                <w:szCs w:val="20"/>
              </w:rPr>
            </w:pPr>
            <w:r w:rsidRPr="00CE6D3D">
              <w:rPr>
                <w:rFonts w:ascii="Century Gothic" w:hAnsi="Century Gothic"/>
                <w:sz w:val="20"/>
                <w:szCs w:val="20"/>
              </w:rPr>
              <w:t xml:space="preserve">Acompañamiento en producción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7B53" w:rsidRPr="00CE6D3D" w:rsidRDefault="0085318D" w:rsidP="00EB0E8D">
            <w:pPr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0.5</w:t>
            </w:r>
          </w:p>
        </w:tc>
      </w:tr>
      <w:tr w:rsidR="00B57B53" w:rsidRPr="00CE6D3D" w:rsidTr="00EB0E8D">
        <w:trPr>
          <w:trHeight w:val="338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F4761" w:themeFill="accent1" w:themeFillShade="BF"/>
          </w:tcPr>
          <w:p w:rsidR="00B57B53" w:rsidRPr="00CE6D3D" w:rsidRDefault="00B57B53" w:rsidP="00EB0E8D">
            <w:pPr>
              <w:ind w:right="68"/>
              <w:jc w:val="right"/>
              <w:rPr>
                <w:rFonts w:ascii="Century Gothic" w:hAnsi="Century Gothic"/>
                <w:sz w:val="20"/>
                <w:szCs w:val="20"/>
              </w:rPr>
            </w:pPr>
            <w:r w:rsidRPr="00CE6D3D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 xml:space="preserve">TOTAL PROYECTO (Días hábiles)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F4761" w:themeFill="accent1" w:themeFillShade="BF"/>
          </w:tcPr>
          <w:p w:rsidR="00B57B53" w:rsidRPr="00B36B44" w:rsidRDefault="00B57B53" w:rsidP="00B04B7B">
            <w:pPr>
              <w:ind w:left="68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  <w:r w:rsidR="00B04B7B">
              <w:rPr>
                <w:rFonts w:ascii="Century Gothic" w:hAnsi="Century Gothic"/>
                <w:b/>
                <w:bCs/>
                <w:sz w:val="20"/>
                <w:szCs w:val="20"/>
              </w:rPr>
              <w:t>7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.5</w:t>
            </w:r>
          </w:p>
        </w:tc>
      </w:tr>
      <w:tr w:rsidR="00B57B53" w:rsidRPr="00CE6D3D" w:rsidTr="00EB0E8D">
        <w:trPr>
          <w:trHeight w:val="353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0A9E0" w:themeFill="text2" w:themeFillTint="66"/>
          </w:tcPr>
          <w:p w:rsidR="00B57B53" w:rsidRPr="00CE6D3D" w:rsidRDefault="00B57B53" w:rsidP="00EB0E8D">
            <w:pPr>
              <w:ind w:right="68"/>
              <w:jc w:val="right"/>
              <w:rPr>
                <w:rFonts w:ascii="Century Gothic" w:hAnsi="Century Gothic"/>
                <w:sz w:val="20"/>
                <w:szCs w:val="20"/>
              </w:rPr>
            </w:pPr>
            <w:r w:rsidRPr="00CE6D3D">
              <w:rPr>
                <w:rFonts w:ascii="Century Gothic" w:hAnsi="Century Gothic"/>
                <w:b/>
                <w:color w:val="000000" w:themeColor="text1"/>
                <w:sz w:val="20"/>
                <w:szCs w:val="20"/>
              </w:rPr>
              <w:t xml:space="preserve">Meses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0A9E0" w:themeFill="text2" w:themeFillTint="66"/>
          </w:tcPr>
          <w:p w:rsidR="00B04B7B" w:rsidRPr="00CE6D3D" w:rsidRDefault="00B04B7B" w:rsidP="00B04B7B">
            <w:pPr>
              <w:ind w:left="1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0.9</w:t>
            </w:r>
          </w:p>
        </w:tc>
      </w:tr>
    </w:tbl>
    <w:p w:rsidR="00B57B53" w:rsidRPr="00CE4AE9" w:rsidRDefault="00B57B53" w:rsidP="00B57B53"/>
    <w:p w:rsidR="00B57B53" w:rsidRPr="00B57B53" w:rsidRDefault="00B57B53" w:rsidP="00B57B53">
      <w:pPr>
        <w:pStyle w:val="Ttulo1"/>
        <w:rPr>
          <w:b w:val="0"/>
        </w:rPr>
      </w:pPr>
      <w:r w:rsidRPr="00B57B53">
        <w:rPr>
          <w:b w:val="0"/>
        </w:rPr>
        <w:t xml:space="preserve">Inversión y forma de pago </w:t>
      </w:r>
    </w:p>
    <w:p w:rsidR="00B57B53" w:rsidRPr="00B57B53" w:rsidRDefault="00B57B53" w:rsidP="00B57B53">
      <w:pPr>
        <w:pStyle w:val="Ttulo1"/>
        <w:rPr>
          <w:b w:val="0"/>
        </w:rPr>
      </w:pPr>
    </w:p>
    <w:tbl>
      <w:tblPr>
        <w:tblW w:w="8107" w:type="dxa"/>
        <w:tblInd w:w="249" w:type="dxa"/>
        <w:tblCellMar>
          <w:top w:w="64" w:type="dxa"/>
          <w:left w:w="107" w:type="dxa"/>
          <w:right w:w="38" w:type="dxa"/>
        </w:tblCellMar>
        <w:tblLook w:val="04A0" w:firstRow="1" w:lastRow="0" w:firstColumn="1" w:lastColumn="0" w:noHBand="0" w:noVBand="1"/>
      </w:tblPr>
      <w:tblGrid>
        <w:gridCol w:w="3816"/>
        <w:gridCol w:w="1257"/>
        <w:gridCol w:w="3034"/>
      </w:tblGrid>
      <w:tr w:rsidR="00B57B53" w:rsidRPr="00EE3A7E" w:rsidTr="00EB0E8D">
        <w:trPr>
          <w:trHeight w:val="325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 w:themeFill="accent1" w:themeFillShade="BF"/>
          </w:tcPr>
          <w:p w:rsidR="00B57B53" w:rsidRPr="00EE3A7E" w:rsidRDefault="00B57B53" w:rsidP="00EB0E8D">
            <w:pPr>
              <w:ind w:right="71"/>
              <w:jc w:val="center"/>
              <w:rPr>
                <w:rFonts w:ascii="Century Gothic" w:hAnsi="Century Gothic"/>
                <w:b/>
                <w:color w:val="FFFFFF"/>
                <w:sz w:val="20"/>
                <w:szCs w:val="20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Hito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 w:themeFill="accent1" w:themeFillShade="BF"/>
          </w:tcPr>
          <w:p w:rsidR="00B57B53" w:rsidRPr="00EE3A7E" w:rsidRDefault="00B57B53" w:rsidP="00EB0E8D">
            <w:pPr>
              <w:rPr>
                <w:rFonts w:ascii="Century Gothic" w:hAnsi="Century Gothic"/>
                <w:b/>
                <w:color w:val="FFFFFF"/>
                <w:sz w:val="20"/>
                <w:szCs w:val="20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Porcentaje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 w:themeFill="accent1" w:themeFillShade="BF"/>
          </w:tcPr>
          <w:p w:rsidR="00B57B53" w:rsidRPr="00EE3A7E" w:rsidRDefault="00B57B53" w:rsidP="00EB0E8D">
            <w:pPr>
              <w:rPr>
                <w:rFonts w:ascii="Century Gothic" w:hAnsi="Century Gothic"/>
                <w:b/>
                <w:color w:val="FFFFFF"/>
                <w:sz w:val="20"/>
                <w:szCs w:val="20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Valor</w:t>
            </w:r>
          </w:p>
        </w:tc>
      </w:tr>
      <w:tr w:rsidR="00B57B53" w:rsidRPr="00EE3A7E" w:rsidTr="00EB0E8D">
        <w:trPr>
          <w:trHeight w:val="324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7B53" w:rsidRPr="00EE3A7E" w:rsidRDefault="00B04B7B" w:rsidP="00B04B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Entrega final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7B53" w:rsidRPr="00EE3A7E" w:rsidRDefault="00B04B7B" w:rsidP="00EB0E8D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100</w:t>
            </w:r>
            <w:r w:rsidR="00B57B53" w:rsidRPr="00EE3A7E">
              <w:rPr>
                <w:rFonts w:ascii="Century Gothic" w:hAnsi="Century Gothic"/>
                <w:sz w:val="20"/>
                <w:szCs w:val="20"/>
              </w:rPr>
              <w:t>%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7B53" w:rsidRPr="00EE3A7E" w:rsidRDefault="00B57B53" w:rsidP="00022E34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E3A7E">
              <w:rPr>
                <w:rFonts w:ascii="Century Gothic" w:hAnsi="Century Gothic"/>
                <w:sz w:val="20"/>
                <w:szCs w:val="20"/>
              </w:rPr>
              <w:t xml:space="preserve">$ </w:t>
            </w:r>
            <w:r w:rsidR="00022E34">
              <w:rPr>
                <w:rFonts w:ascii="Century Gothic" w:hAnsi="Century Gothic"/>
                <w:sz w:val="20"/>
                <w:szCs w:val="20"/>
              </w:rPr>
              <w:t>5.800.000</w:t>
            </w:r>
          </w:p>
        </w:tc>
      </w:tr>
      <w:tr w:rsidR="00B57B53" w:rsidRPr="00EE3A7E" w:rsidTr="00EB0E8D">
        <w:trPr>
          <w:trHeight w:val="338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 w:themeFill="accent1" w:themeFillShade="BF"/>
          </w:tcPr>
          <w:p w:rsidR="00B57B53" w:rsidRPr="00EE3A7E" w:rsidRDefault="00B57B53" w:rsidP="00EB0E8D">
            <w:pPr>
              <w:ind w:right="68"/>
              <w:jc w:val="right"/>
              <w:rPr>
                <w:rFonts w:ascii="Century Gothic" w:hAnsi="Century Gothic"/>
                <w:sz w:val="20"/>
                <w:szCs w:val="20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 xml:space="preserve">Totales 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 w:themeFill="accent1" w:themeFillShade="BF"/>
          </w:tcPr>
          <w:p w:rsidR="00B57B53" w:rsidRPr="00EE3A7E" w:rsidRDefault="00B57B53" w:rsidP="00EB0E8D">
            <w:pPr>
              <w:ind w:right="68"/>
              <w:jc w:val="right"/>
              <w:rPr>
                <w:rFonts w:ascii="Century Gothic" w:hAnsi="Century Gothic"/>
                <w:b/>
                <w:color w:val="FFFFFF"/>
                <w:sz w:val="20"/>
                <w:szCs w:val="20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100%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 w:themeFill="accent1" w:themeFillShade="BF"/>
          </w:tcPr>
          <w:p w:rsidR="00B57B53" w:rsidRPr="00EE3A7E" w:rsidRDefault="00B57B53" w:rsidP="00022E34">
            <w:pPr>
              <w:ind w:right="68"/>
              <w:jc w:val="center"/>
              <w:rPr>
                <w:rFonts w:ascii="Century Gothic" w:hAnsi="Century Gothic"/>
                <w:b/>
                <w:color w:val="FFFFFF"/>
                <w:sz w:val="20"/>
                <w:szCs w:val="20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 xml:space="preserve">$ </w:t>
            </w:r>
            <w:r w:rsidR="00022E34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5.800.000</w:t>
            </w:r>
          </w:p>
        </w:tc>
      </w:tr>
    </w:tbl>
    <w:p w:rsidR="00B57B53" w:rsidRPr="00EE3A7E" w:rsidRDefault="00B57B53" w:rsidP="00B57B53">
      <w:pPr>
        <w:pStyle w:val="Prrafodelista"/>
        <w:ind w:left="792"/>
        <w:jc w:val="both"/>
        <w:rPr>
          <w:rFonts w:ascii="Century Gothic" w:hAnsi="Century Gothic" w:cstheme="majorHAnsi"/>
          <w:szCs w:val="24"/>
        </w:rPr>
      </w:pPr>
    </w:p>
    <w:p w:rsidR="00B57B53" w:rsidRDefault="00B57B53" w:rsidP="00B57B53">
      <w:pPr>
        <w:pStyle w:val="Prrafodelista"/>
        <w:ind w:left="0"/>
        <w:jc w:val="both"/>
        <w:rPr>
          <w:rFonts w:ascii="Century Gothic" w:hAnsi="Century Gothic" w:cstheme="majorHAnsi"/>
          <w:szCs w:val="24"/>
        </w:rPr>
      </w:pPr>
    </w:p>
    <w:p w:rsidR="00B57B53" w:rsidRPr="00EE3A7E" w:rsidRDefault="00B57B53" w:rsidP="00B57B53">
      <w:pPr>
        <w:pStyle w:val="Prrafodelista"/>
        <w:ind w:left="0"/>
        <w:jc w:val="both"/>
        <w:rPr>
          <w:rFonts w:ascii="Century Gothic" w:hAnsi="Century Gothic" w:cstheme="majorHAnsi"/>
          <w:szCs w:val="24"/>
        </w:rPr>
      </w:pPr>
      <w:r w:rsidRPr="00EE3A7E">
        <w:rPr>
          <w:rFonts w:ascii="Century Gothic" w:hAnsi="Century Gothic" w:cstheme="majorHAnsi"/>
          <w:szCs w:val="24"/>
        </w:rPr>
        <w:t xml:space="preserve">Impuestos: El valor del IVA y otros impuestos si aplicasen, NO están incluidos en la presente oferta y se deben agregar al valor del proyecto. </w:t>
      </w:r>
    </w:p>
    <w:p w:rsidR="00B87464" w:rsidRDefault="00B87464" w:rsidP="00B87464"/>
    <w:p w:rsidR="000026A9" w:rsidRPr="00EE3A7E" w:rsidRDefault="000026A9" w:rsidP="000026A9">
      <w:pPr>
        <w:pStyle w:val="Ttulo1"/>
        <w:rPr>
          <w:rFonts w:ascii="Century Gothic" w:hAnsi="Century Gothic" w:cstheme="majorHAnsi"/>
          <w:b w:val="0"/>
          <w:bCs/>
          <w:szCs w:val="24"/>
        </w:rPr>
      </w:pPr>
      <w:r w:rsidRPr="00EE3A7E">
        <w:t xml:space="preserve">Fecha posible de inicio </w:t>
      </w:r>
    </w:p>
    <w:p w:rsidR="000026A9" w:rsidRDefault="000026A9" w:rsidP="000026A9">
      <w:pPr>
        <w:pStyle w:val="Prrafodelista"/>
        <w:ind w:left="0"/>
        <w:jc w:val="both"/>
        <w:rPr>
          <w:rFonts w:ascii="Century Gothic" w:hAnsi="Century Gothic" w:cstheme="majorHAnsi"/>
          <w:szCs w:val="24"/>
        </w:rPr>
      </w:pPr>
      <w:r w:rsidRPr="00EE3A7E">
        <w:rPr>
          <w:rFonts w:ascii="Century Gothic" w:hAnsi="Century Gothic" w:cstheme="majorHAnsi"/>
          <w:szCs w:val="24"/>
        </w:rPr>
        <w:t xml:space="preserve">Máximo </w:t>
      </w:r>
      <w:r>
        <w:rPr>
          <w:rFonts w:ascii="Century Gothic" w:hAnsi="Century Gothic" w:cstheme="majorHAnsi"/>
          <w:szCs w:val="24"/>
        </w:rPr>
        <w:t>8</w:t>
      </w:r>
      <w:r w:rsidRPr="00EE3A7E">
        <w:rPr>
          <w:rFonts w:ascii="Century Gothic" w:hAnsi="Century Gothic" w:cstheme="majorHAnsi"/>
          <w:szCs w:val="24"/>
        </w:rPr>
        <w:t xml:space="preserve"> días hábiles luego de la </w:t>
      </w:r>
      <w:r>
        <w:rPr>
          <w:rFonts w:ascii="Century Gothic" w:hAnsi="Century Gothic" w:cstheme="majorHAnsi"/>
          <w:szCs w:val="24"/>
        </w:rPr>
        <w:t>aprobación de la propuesta</w:t>
      </w:r>
    </w:p>
    <w:p w:rsidR="000026A9" w:rsidRPr="00EE3A7E" w:rsidRDefault="000026A9" w:rsidP="000026A9">
      <w:pPr>
        <w:pStyle w:val="Ttulo1"/>
        <w:rPr>
          <w:rFonts w:ascii="Century Gothic" w:hAnsi="Century Gothic" w:cstheme="majorHAnsi"/>
          <w:b w:val="0"/>
          <w:bCs/>
          <w:szCs w:val="24"/>
        </w:rPr>
      </w:pPr>
      <w:r w:rsidRPr="00EE3A7E">
        <w:t xml:space="preserve">Validez de la propuesta  </w:t>
      </w:r>
    </w:p>
    <w:p w:rsidR="000026A9" w:rsidRPr="00EE3A7E" w:rsidRDefault="00B57B53" w:rsidP="000026A9">
      <w:pPr>
        <w:pStyle w:val="Prrafodelista"/>
        <w:ind w:left="0"/>
        <w:jc w:val="both"/>
        <w:rPr>
          <w:rFonts w:ascii="Century Gothic" w:hAnsi="Century Gothic" w:cstheme="majorHAnsi"/>
          <w:szCs w:val="24"/>
        </w:rPr>
      </w:pPr>
      <w:r>
        <w:rPr>
          <w:rFonts w:ascii="Century Gothic" w:hAnsi="Century Gothic" w:cstheme="majorHAnsi"/>
          <w:szCs w:val="24"/>
        </w:rPr>
        <w:t>13 de Noviembre de 2026</w:t>
      </w:r>
    </w:p>
    <w:p w:rsidR="003F430E" w:rsidRDefault="003F430E" w:rsidP="000026A9">
      <w:pPr>
        <w:pStyle w:val="Ttulo1"/>
      </w:pPr>
    </w:p>
    <w:p w:rsidR="000026A9" w:rsidRDefault="000026A9" w:rsidP="000026A9">
      <w:pPr>
        <w:pStyle w:val="Ttulo1"/>
        <w:rPr>
          <w:rFonts w:ascii="Century Gothic" w:hAnsi="Century Gothic"/>
          <w:szCs w:val="24"/>
        </w:rPr>
      </w:pPr>
      <w:r w:rsidRPr="00EE3A7E">
        <w:t xml:space="preserve">Garantía  </w:t>
      </w:r>
    </w:p>
    <w:p w:rsidR="000026A9" w:rsidRPr="00EE3A7E" w:rsidRDefault="000026A9" w:rsidP="000026A9">
      <w:pPr>
        <w:jc w:val="both"/>
        <w:rPr>
          <w:rFonts w:ascii="Century Gothic" w:hAnsi="Century Gothic" w:cstheme="majorBidi"/>
          <w:szCs w:val="24"/>
        </w:rPr>
      </w:pPr>
      <w:r w:rsidRPr="00EE3A7E">
        <w:rPr>
          <w:rFonts w:ascii="Century Gothic" w:hAnsi="Century Gothic" w:cstheme="majorBidi"/>
          <w:szCs w:val="24"/>
        </w:rPr>
        <w:t xml:space="preserve">El software desarrollado tendrá 3 meses de garantía a partir de la fecha de entrega del último ciclo de desarrollo (pruebas integrales y ajustes), que cubre todos los errores por mal funcionamiento de los requerimientos especificados. No se contemplan modificaciones ni adiciones por requerimientos no contemplados. </w:t>
      </w:r>
    </w:p>
    <w:p w:rsidR="000026A9" w:rsidRPr="00EE3A7E" w:rsidRDefault="000026A9" w:rsidP="000026A9">
      <w:pPr>
        <w:jc w:val="both"/>
        <w:rPr>
          <w:rFonts w:ascii="Century Gothic" w:hAnsi="Century Gothic" w:cstheme="majorBidi"/>
          <w:szCs w:val="24"/>
        </w:rPr>
      </w:pPr>
      <w:r w:rsidRPr="00EE3A7E">
        <w:rPr>
          <w:rFonts w:ascii="Century Gothic" w:hAnsi="Century Gothic" w:cstheme="majorBidi"/>
          <w:szCs w:val="24"/>
        </w:rPr>
        <w:t xml:space="preserve">La garantía empieza a contar una vez se termine el ciclo de estabilización descrito en esta propuesta. La fecha de salida a producción o controles de cambio sobre el sistema no extienden dicho período de garantía. </w:t>
      </w:r>
    </w:p>
    <w:p w:rsidR="000026A9" w:rsidRPr="00EE3A7E" w:rsidRDefault="000026A9" w:rsidP="000026A9">
      <w:pPr>
        <w:jc w:val="both"/>
        <w:rPr>
          <w:rFonts w:ascii="Century Gothic" w:hAnsi="Century Gothic" w:cstheme="majorBidi"/>
          <w:szCs w:val="24"/>
        </w:rPr>
      </w:pPr>
      <w:r w:rsidRPr="00EE3A7E">
        <w:rPr>
          <w:rFonts w:ascii="Century Gothic" w:hAnsi="Century Gothic" w:cstheme="majorBidi"/>
          <w:szCs w:val="24"/>
        </w:rPr>
        <w:t xml:space="preserve">En caso de que el sistema sea modificado por terceros la garantía se anulará inmediatamente. </w:t>
      </w:r>
    </w:p>
    <w:p w:rsidR="000026A9" w:rsidRPr="00EE3A7E" w:rsidRDefault="000026A9" w:rsidP="000026A9">
      <w:pPr>
        <w:jc w:val="both"/>
        <w:rPr>
          <w:rFonts w:ascii="Century Gothic" w:hAnsi="Century Gothic" w:cstheme="majorBidi"/>
          <w:szCs w:val="24"/>
        </w:rPr>
      </w:pPr>
      <w:r w:rsidRPr="00EE3A7E">
        <w:rPr>
          <w:rFonts w:ascii="Century Gothic" w:hAnsi="Century Gothic" w:cstheme="majorBidi"/>
          <w:szCs w:val="24"/>
        </w:rPr>
        <w:t xml:space="preserve">El contratista en ningún caso tendrá responsabilidad por daños de cualquier naturaleza, incluyendo sin limitar, pérdidas de utilidades, interrupción de operaciones, pérdida de información comercial u otros daños pecuniarios, que se deriven del mal uso o incapacidad de usar el(los) producto(s) y/o los programas instalados.  </w:t>
      </w:r>
    </w:p>
    <w:p w:rsidR="000026A9" w:rsidRDefault="000026A9" w:rsidP="000026A9">
      <w:pPr>
        <w:ind w:left="708"/>
        <w:jc w:val="both"/>
        <w:rPr>
          <w:rFonts w:ascii="Century Gothic" w:hAnsi="Century Gothic" w:cstheme="majorBidi"/>
          <w:szCs w:val="24"/>
        </w:rPr>
      </w:pPr>
    </w:p>
    <w:p w:rsidR="000026A9" w:rsidRDefault="000026A9" w:rsidP="000026A9">
      <w:pPr>
        <w:ind w:left="708"/>
        <w:jc w:val="both"/>
        <w:rPr>
          <w:rFonts w:ascii="Century Gothic" w:hAnsi="Century Gothic" w:cstheme="majorBidi"/>
          <w:szCs w:val="24"/>
        </w:rPr>
      </w:pPr>
      <w:bookmarkStart w:id="0" w:name="_GoBack"/>
      <w:bookmarkEnd w:id="0"/>
    </w:p>
    <w:p w:rsidR="000026A9" w:rsidRPr="00EE3A7E" w:rsidRDefault="000026A9" w:rsidP="000026A9">
      <w:pPr>
        <w:ind w:left="708"/>
        <w:jc w:val="both"/>
        <w:rPr>
          <w:rFonts w:ascii="Century Gothic" w:hAnsi="Century Gothic" w:cstheme="majorBidi"/>
          <w:szCs w:val="24"/>
        </w:rPr>
      </w:pPr>
      <w:r>
        <w:rPr>
          <w:rFonts w:ascii="Century Gothic" w:hAnsi="Century Gothic" w:cstheme="majorHAnsi"/>
          <w:noProof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3591053" wp14:editId="0AD3FF05">
                <wp:simplePos x="0" y="0"/>
                <wp:positionH relativeFrom="margin">
                  <wp:posOffset>-378157</wp:posOffset>
                </wp:positionH>
                <wp:positionV relativeFrom="paragraph">
                  <wp:posOffset>204856</wp:posOffset>
                </wp:positionV>
                <wp:extent cx="3167482" cy="1543508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482" cy="15435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26A9" w:rsidRDefault="000026A9" w:rsidP="000026A9">
                            <w:r>
                              <w:rPr>
                                <w:rFonts w:ascii="Arial" w:hAnsi="Arial" w:cs="Arial"/>
                                <w:noProof/>
                                <w:sz w:val="28"/>
                                <w:szCs w:val="28"/>
                                <w:lang w:eastAsia="es-CO"/>
                              </w:rPr>
                              <w:drawing>
                                <wp:inline distT="0" distB="0" distL="0" distR="0" wp14:anchorId="7CC882F1" wp14:editId="33544552">
                                  <wp:extent cx="1521773" cy="3132553"/>
                                  <wp:effectExtent l="0" t="5398" r="0" b="0"/>
                                  <wp:docPr id="1" name="Picture 1" descr="A signature on a white pap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6176953" name="Picture 1" descr="A signature on a white paper&#10;&#10;Description automatically generated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alphaModFix amt="50000"/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9">
                                                    <a14:imgEffect>
                                                      <a14:artisticPhotocopy trans="0" detail="10"/>
                                                    </a14:imgEffect>
                                                    <a14:imgEffect>
                                                      <a14:sharpenSoften amount="25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6368" r="35026"/>
                                          <a:stretch/>
                                        </pic:blipFill>
                                        <pic:spPr bwMode="auto">
                                          <a:xfrm rot="5400000">
                                            <a:off x="0" y="0"/>
                                            <a:ext cx="1600526" cy="32946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91053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left:0;text-align:left;margin-left:-29.8pt;margin-top:16.15pt;width:249.4pt;height:121.5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" filled="f" stroked="f" strokeweight=".5pt">
                <v:textbox>
                  <w:txbxContent>
                    <w:p w:rsidR="000026A9" w:rsidRDefault="000026A9" w:rsidP="000026A9">
                      <w:r>
                        <w:rPr>
                          <w:rFonts w:ascii="Arial" w:hAnsi="Arial" w:cs="Arial"/>
                          <w:noProof/>
                          <w:sz w:val="28"/>
                          <w:szCs w:val="28"/>
                          <w:lang w:eastAsia="es-CO"/>
                        </w:rPr>
                        <w:drawing>
                          <wp:inline distT="0" distB="0" distL="0" distR="0" wp14:anchorId="7CC882F1" wp14:editId="33544552">
                            <wp:extent cx="1521773" cy="3132553"/>
                            <wp:effectExtent l="0" t="5398" r="0" b="0"/>
                            <wp:docPr id="1" name="Picture 1" descr="A signature on a white pap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6176953" name="Picture 1" descr="A signature on a white paper&#10;&#10;Description automatically generated"/>
                                    <pic:cNvPicPr/>
                                  </pic:nvPicPr>
                                  <pic:blipFill rotWithShape="1">
                                    <a:blip r:embed="rId10">
                                      <a:alphaModFix amt="50000"/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1">
                                              <a14:imgEffect>
                                                <a14:artisticPhotocopy trans="0" detail="10"/>
                                              </a14:imgEffect>
                                              <a14:imgEffect>
                                                <a14:sharpenSoften amount="25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6368" r="35026"/>
                                    <a:stretch/>
                                  </pic:blipFill>
                                  <pic:spPr bwMode="auto">
                                    <a:xfrm rot="5400000">
                                      <a:off x="0" y="0"/>
                                      <a:ext cx="1600526" cy="3294666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026A9" w:rsidRPr="00EE3A7E" w:rsidRDefault="000026A9" w:rsidP="000026A9">
      <w:pPr>
        <w:jc w:val="both"/>
        <w:rPr>
          <w:rFonts w:ascii="Century Gothic" w:hAnsi="Century Gothic" w:cstheme="majorBidi"/>
          <w:szCs w:val="24"/>
        </w:rPr>
      </w:pPr>
      <w:r w:rsidRPr="00EE3A7E">
        <w:rPr>
          <w:rFonts w:ascii="Century Gothic" w:hAnsi="Century Gothic" w:cstheme="majorHAnsi"/>
          <w:szCs w:val="24"/>
        </w:rPr>
        <w:t xml:space="preserve">Cordialmente, </w:t>
      </w:r>
    </w:p>
    <w:p w:rsidR="000026A9" w:rsidRPr="00EE3A7E" w:rsidRDefault="000026A9" w:rsidP="000026A9">
      <w:pPr>
        <w:jc w:val="both"/>
        <w:rPr>
          <w:rFonts w:ascii="Century Gothic" w:hAnsi="Century Gothic" w:cstheme="majorHAnsi"/>
          <w:szCs w:val="24"/>
        </w:rPr>
      </w:pPr>
      <w:r w:rsidRPr="00EE3A7E">
        <w:rPr>
          <w:rFonts w:ascii="Century Gothic" w:hAnsi="Century Gothic" w:cstheme="majorHAnsi"/>
          <w:szCs w:val="24"/>
        </w:rPr>
        <w:t xml:space="preserve"> </w:t>
      </w:r>
    </w:p>
    <w:p w:rsidR="000026A9" w:rsidRPr="00EE3A7E" w:rsidRDefault="000026A9" w:rsidP="000026A9">
      <w:pPr>
        <w:jc w:val="both"/>
        <w:rPr>
          <w:rFonts w:ascii="Century Gothic" w:hAnsi="Century Gothic" w:cstheme="majorHAnsi"/>
          <w:szCs w:val="24"/>
        </w:rPr>
      </w:pPr>
      <w:r w:rsidRPr="00EE3A7E">
        <w:rPr>
          <w:rFonts w:ascii="Century Gothic" w:hAnsi="Century Gothic" w:cstheme="majorHAnsi"/>
          <w:szCs w:val="24"/>
        </w:rPr>
        <w:t xml:space="preserve"> </w:t>
      </w:r>
    </w:p>
    <w:p w:rsidR="000026A9" w:rsidRPr="00EE3A7E" w:rsidRDefault="000026A9" w:rsidP="000026A9">
      <w:pPr>
        <w:jc w:val="both"/>
        <w:rPr>
          <w:rFonts w:ascii="Century Gothic" w:hAnsi="Century Gothic" w:cstheme="majorBidi"/>
          <w:szCs w:val="24"/>
        </w:rPr>
      </w:pPr>
      <w:r w:rsidRPr="00EE3A7E">
        <w:rPr>
          <w:rFonts w:ascii="Century Gothic" w:hAnsi="Century Gothic" w:cstheme="majorBidi"/>
          <w:szCs w:val="24"/>
        </w:rPr>
        <w:t>Andrés Ricardo Díaz Cárdenas</w:t>
      </w:r>
    </w:p>
    <w:p w:rsidR="000026A9" w:rsidRPr="005E0C4A" w:rsidRDefault="000026A9" w:rsidP="005E0C4A">
      <w:pPr>
        <w:jc w:val="both"/>
        <w:rPr>
          <w:rFonts w:ascii="Century Gothic" w:hAnsi="Century Gothic" w:cstheme="majorBidi"/>
          <w:szCs w:val="24"/>
        </w:rPr>
      </w:pPr>
      <w:r w:rsidRPr="00EE3A7E">
        <w:rPr>
          <w:rFonts w:ascii="Century Gothic" w:hAnsi="Century Gothic" w:cstheme="majorBidi"/>
          <w:szCs w:val="24"/>
        </w:rPr>
        <w:t>Analista Funcional y Líder del proyecto.</w:t>
      </w:r>
    </w:p>
    <w:sectPr w:rsidR="000026A9" w:rsidRPr="005E0C4A" w:rsidSect="00BE5894">
      <w:headerReference w:type="even" r:id="rId12"/>
      <w:headerReference w:type="first" r:id="rId13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1F49" w:rsidRDefault="00DC1F49" w:rsidP="00836AFC">
      <w:pPr>
        <w:spacing w:before="0" w:after="0"/>
      </w:pPr>
      <w:r>
        <w:separator/>
      </w:r>
    </w:p>
  </w:endnote>
  <w:endnote w:type="continuationSeparator" w:id="0">
    <w:p w:rsidR="00DC1F49" w:rsidRDefault="00DC1F49" w:rsidP="00836AF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1F49" w:rsidRDefault="00DC1F49" w:rsidP="00836AFC">
      <w:pPr>
        <w:spacing w:before="0" w:after="0"/>
      </w:pPr>
      <w:r>
        <w:separator/>
      </w:r>
    </w:p>
  </w:footnote>
  <w:footnote w:type="continuationSeparator" w:id="0">
    <w:p w:rsidR="00DC1F49" w:rsidRDefault="00DC1F49" w:rsidP="00836AF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6AFC" w:rsidRDefault="00320567">
    <w:pPr>
      <w:pStyle w:val="Encabezado"/>
    </w:pPr>
    <w:r>
      <w:rPr>
        <w:noProof/>
        <w:lang w:eastAsia="es-CO"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867AE9" wp14:editId="009136F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86765" cy="431165"/>
              <wp:effectExtent l="0" t="0" r="13335" b="6985"/>
              <wp:wrapNone/>
              <wp:docPr id="1842129993" name="Cuadro de texto 4" descr="• PUBLIC 公開">
                <a:extLst xmlns:a="http://schemas.openxmlformats.org/drawingml/2006/main">
                  <a:ext uri="{5AE41FA2-C0FF-4470-9BD4-5FADCA87CBE2}">
                    <aclsh:classification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676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20567" w:rsidRPr="00320567" w:rsidRDefault="00320567" w:rsidP="003205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2056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• PUBLIC 公開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867AE9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alt="• PUBLIC 公開" style="position:absolute;margin-left:0;margin-top:0;width:61.95pt;height:33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" filled="f" stroked="f">
              <v:textbox style="mso-fit-shape-to-text:t" inset="0,15pt,0,0">
                <w:txbxContent>
                  <w:p w:rsidR="00320567" w:rsidRPr="00320567" w:rsidRDefault="00320567" w:rsidP="003205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2056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• PUBLIC 公開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6AFC" w:rsidRDefault="00320567">
    <w:pPr>
      <w:pStyle w:val="Encabezado"/>
    </w:pPr>
    <w:r>
      <w:rPr>
        <w:noProof/>
        <w:lang w:eastAsia="es-CO"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10BCEB" wp14:editId="638BC55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86765" cy="431165"/>
              <wp:effectExtent l="0" t="0" r="13335" b="6985"/>
              <wp:wrapNone/>
              <wp:docPr id="397844938" name="Cuadro de texto 3" descr="• PUBLIC 公開">
                <a:extLst xmlns:a="http://schemas.openxmlformats.org/drawingml/2006/main">
                  <a:ext uri="{5AE41FA2-C0FF-4470-9BD4-5FADCA87CBE2}">
                    <aclsh:classification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676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20567" w:rsidRPr="00320567" w:rsidRDefault="00320567" w:rsidP="003205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2056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• PUBLIC 公開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10BCEB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alt="• PUBLIC 公開" style="position:absolute;margin-left:0;margin-top:0;width:61.95pt;height:33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" filled="f" stroked="f">
              <v:textbox style="mso-fit-shape-to-text:t" inset="0,15pt,0,0">
                <w:txbxContent>
                  <w:p w:rsidR="00320567" w:rsidRPr="00320567" w:rsidRDefault="00320567" w:rsidP="003205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2056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• PUBLIC 公開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C5180"/>
    <w:multiLevelType w:val="hybridMultilevel"/>
    <w:tmpl w:val="C620420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A77C03"/>
    <w:multiLevelType w:val="multilevel"/>
    <w:tmpl w:val="105C11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34BD9"/>
    <w:multiLevelType w:val="multilevel"/>
    <w:tmpl w:val="105C11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A1176"/>
    <w:multiLevelType w:val="multilevel"/>
    <w:tmpl w:val="105C11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B6A8D"/>
    <w:multiLevelType w:val="multilevel"/>
    <w:tmpl w:val="105C11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A48FD"/>
    <w:multiLevelType w:val="multilevel"/>
    <w:tmpl w:val="105C11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51D9D"/>
    <w:multiLevelType w:val="multilevel"/>
    <w:tmpl w:val="105C11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6277B"/>
    <w:multiLevelType w:val="multilevel"/>
    <w:tmpl w:val="105C11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D64914"/>
    <w:multiLevelType w:val="hybridMultilevel"/>
    <w:tmpl w:val="AA90EE2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C955FB3"/>
    <w:multiLevelType w:val="hybridMultilevel"/>
    <w:tmpl w:val="579435B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2"/>
  </w:num>
  <w:num w:numId="5">
    <w:abstractNumId w:val="6"/>
  </w:num>
  <w:num w:numId="6">
    <w:abstractNumId w:val="3"/>
  </w:num>
  <w:num w:numId="7">
    <w:abstractNumId w:val="5"/>
  </w:num>
  <w:num w:numId="8">
    <w:abstractNumId w:val="1"/>
  </w:num>
  <w:num w:numId="9">
    <w:abstractNumId w:val="4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AFC"/>
    <w:rsid w:val="000026A9"/>
    <w:rsid w:val="000173D9"/>
    <w:rsid w:val="00022E34"/>
    <w:rsid w:val="00074B25"/>
    <w:rsid w:val="00075758"/>
    <w:rsid w:val="00131B90"/>
    <w:rsid w:val="001541A2"/>
    <w:rsid w:val="00165092"/>
    <w:rsid w:val="001B20DC"/>
    <w:rsid w:val="00201821"/>
    <w:rsid w:val="00236082"/>
    <w:rsid w:val="002823F9"/>
    <w:rsid w:val="00320567"/>
    <w:rsid w:val="003E72A3"/>
    <w:rsid w:val="003F2B91"/>
    <w:rsid w:val="003F430E"/>
    <w:rsid w:val="004046C8"/>
    <w:rsid w:val="004627D1"/>
    <w:rsid w:val="004808EE"/>
    <w:rsid w:val="00486A0F"/>
    <w:rsid w:val="00496CD5"/>
    <w:rsid w:val="004C62E8"/>
    <w:rsid w:val="00517F8B"/>
    <w:rsid w:val="005313A2"/>
    <w:rsid w:val="00587CF4"/>
    <w:rsid w:val="005E0C4A"/>
    <w:rsid w:val="006178AD"/>
    <w:rsid w:val="00617E8E"/>
    <w:rsid w:val="006B510B"/>
    <w:rsid w:val="006E2013"/>
    <w:rsid w:val="00763E46"/>
    <w:rsid w:val="00786854"/>
    <w:rsid w:val="00831FBA"/>
    <w:rsid w:val="00836AFC"/>
    <w:rsid w:val="0085318D"/>
    <w:rsid w:val="00857CBB"/>
    <w:rsid w:val="008F70F1"/>
    <w:rsid w:val="00910893"/>
    <w:rsid w:val="009B0A60"/>
    <w:rsid w:val="00A16DF0"/>
    <w:rsid w:val="00A542E7"/>
    <w:rsid w:val="00AB15CC"/>
    <w:rsid w:val="00AC2250"/>
    <w:rsid w:val="00AF4A00"/>
    <w:rsid w:val="00B04B7B"/>
    <w:rsid w:val="00B056F5"/>
    <w:rsid w:val="00B11176"/>
    <w:rsid w:val="00B4047E"/>
    <w:rsid w:val="00B57B53"/>
    <w:rsid w:val="00B609A3"/>
    <w:rsid w:val="00B87464"/>
    <w:rsid w:val="00BE5894"/>
    <w:rsid w:val="00C15F1D"/>
    <w:rsid w:val="00C21B6D"/>
    <w:rsid w:val="00C3353A"/>
    <w:rsid w:val="00CB5854"/>
    <w:rsid w:val="00CD0315"/>
    <w:rsid w:val="00D366BA"/>
    <w:rsid w:val="00D54201"/>
    <w:rsid w:val="00D54B0B"/>
    <w:rsid w:val="00D61B4F"/>
    <w:rsid w:val="00DC1F49"/>
    <w:rsid w:val="00DF087D"/>
    <w:rsid w:val="00E162FC"/>
    <w:rsid w:val="00E92EFB"/>
    <w:rsid w:val="00E92FEA"/>
    <w:rsid w:val="00EC3BD3"/>
    <w:rsid w:val="00ED29C0"/>
    <w:rsid w:val="00EE282A"/>
    <w:rsid w:val="00EE633D"/>
    <w:rsid w:val="00F40146"/>
    <w:rsid w:val="00F66057"/>
    <w:rsid w:val="00FB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546013-0113-4618-B091-EB3A9878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5854"/>
    <w:pPr>
      <w:spacing w:before="120" w:after="120" w:line="240" w:lineRule="auto"/>
    </w:pPr>
    <w:rPr>
      <w:rFonts w:ascii="Verdana" w:hAnsi="Verdana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808EE"/>
    <w:pPr>
      <w:keepNext/>
      <w:keepLines/>
      <w:spacing w:before="80" w:after="80"/>
      <w:outlineLvl w:val="0"/>
    </w:pPr>
    <w:rPr>
      <w:rFonts w:eastAsiaTheme="majorEastAsia" w:cstheme="majorBidi"/>
      <w:b/>
      <w:color w:val="215E99" w:themeColor="text2" w:themeTint="BF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5854"/>
    <w:pPr>
      <w:keepNext/>
      <w:keepLines/>
      <w:spacing w:before="160" w:after="80"/>
      <w:outlineLvl w:val="1"/>
    </w:pPr>
    <w:rPr>
      <w:rFonts w:eastAsiaTheme="majorEastAsia" w:cstheme="majorBidi"/>
      <w:b/>
      <w:color w:val="215E99" w:themeColor="text2" w:themeTint="BF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CB5854"/>
    <w:pPr>
      <w:keepNext/>
      <w:keepLines/>
      <w:spacing w:before="160" w:after="80"/>
      <w:outlineLvl w:val="2"/>
    </w:pPr>
    <w:rPr>
      <w:rFonts w:eastAsiaTheme="majorEastAsia" w:cstheme="majorBidi"/>
      <w:color w:val="215E99" w:themeColor="text2" w:themeTint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6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6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6A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6A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6A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6A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08EE"/>
    <w:rPr>
      <w:rFonts w:ascii="Verdana" w:eastAsiaTheme="majorEastAsia" w:hAnsi="Verdana" w:cstheme="majorBidi"/>
      <w:b/>
      <w:color w:val="215E99" w:themeColor="text2" w:themeTint="BF"/>
      <w:kern w:val="0"/>
      <w:sz w:val="32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CB5854"/>
    <w:rPr>
      <w:rFonts w:ascii="Verdana" w:eastAsiaTheme="majorEastAsia" w:hAnsi="Verdana" w:cstheme="majorBidi"/>
      <w:b/>
      <w:color w:val="215E99" w:themeColor="text2" w:themeTint="BF"/>
      <w:kern w:val="0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B5854"/>
    <w:rPr>
      <w:rFonts w:ascii="Verdana" w:eastAsiaTheme="majorEastAsia" w:hAnsi="Verdana" w:cstheme="majorBidi"/>
      <w:color w:val="215E99" w:themeColor="text2" w:themeTint="BF"/>
      <w:kern w:val="0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6AFC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6AFC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6AFC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6AFC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6AFC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6AFC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Puesto">
    <w:name w:val="Title"/>
    <w:basedOn w:val="Normal"/>
    <w:next w:val="Normal"/>
    <w:link w:val="PuestoCar"/>
    <w:uiPriority w:val="10"/>
    <w:qFormat/>
    <w:rsid w:val="00836A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836AF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836AFC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6AF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836A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6AFC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Prrafodelista">
    <w:name w:val="List Paragraph"/>
    <w:basedOn w:val="Normal"/>
    <w:uiPriority w:val="34"/>
    <w:qFormat/>
    <w:rsid w:val="00836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6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6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6AFC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836AF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36AF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6AFC"/>
    <w:rPr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21B6D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1B6D"/>
    <w:rPr>
      <w:rFonts w:ascii="Verdana" w:hAnsi="Verdana"/>
      <w:kern w:val="0"/>
      <w:szCs w:val="22"/>
      <w14:ligatures w14:val="none"/>
    </w:rPr>
  </w:style>
  <w:style w:type="character" w:styleId="Textoennegrita">
    <w:name w:val="Strong"/>
    <w:basedOn w:val="Fuentedeprrafopredeter"/>
    <w:uiPriority w:val="22"/>
    <w:qFormat/>
    <w:rsid w:val="003E72A3"/>
    <w:rPr>
      <w:b/>
      <w:bCs/>
    </w:rPr>
  </w:style>
  <w:style w:type="table" w:styleId="Tablaconcuadrcula">
    <w:name w:val="Table Grid"/>
    <w:basedOn w:val="Tablanormal"/>
    <w:uiPriority w:val="39"/>
    <w:rsid w:val="00B874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9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5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6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7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0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8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5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8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5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3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6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8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9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6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9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1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6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1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5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3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9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7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4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4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5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9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4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0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2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7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3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0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3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2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7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1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0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C4F78B-46EC-4B04-BB25-00DC3A094F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69a659-4ccb-43cb-892c-7a541e6e7452}" enabled="1" method="Privileged" siteId="{94dbe978-d0b7-4066-8a8b-9526a74b44c5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8</Pages>
  <Words>1775</Words>
  <Characters>9767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Ricardo Diaz Cardenas</dc:creator>
  <cp:keywords/>
  <dc:description/>
  <cp:lastModifiedBy>Cuenta Microsoft</cp:lastModifiedBy>
  <cp:revision>24</cp:revision>
  <dcterms:created xsi:type="dcterms:W3CDTF">2026-09-22T16:12:00Z</dcterms:created>
  <dcterms:modified xsi:type="dcterms:W3CDTF">2026-10-30T03:11:00Z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36ad14c8,17b6a1ca,6dccac49,2da6f7e4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• PUBLIC 公開</vt:lpwstr>
  </property>
</Properties>
</file>