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TÉCNICO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ALCANCE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Documenta la solución técnica del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(rama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RQM-ComplementoLogs+SaleOff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): objetos de base de datos, componentes por capa, seguridad, despliegue, reversa y soporte.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ARQUITECTURA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solución respeta la arquitectura existente de Aldebarán Web (Blazor Server + Radzen, .NET, Entity Framework Core 7, SQL Server):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 / proyecto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Aldebaran.Web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Pantallas Razor, view models de pantalla, menú (Shared/MainLayout.razor) y controladores de exportación. No conoce la capa de datos.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Aldebaran.Application.Services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Casos de uso: servicios, modelos por caso de uso, filtros tipados, validaciones y mapeo (AutoMapper, ApplicationServicesProfile).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Entidades, configuración EF, AldebaranDbContext (TrackEntities) y triggers EF de inventario.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Aldebaran.DataAccess.Infraestructure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Repositorios. Los SP se llaman con StoredProcedureCommand (parámetros SqlParameter nombrados).</w:t>
            </w:r>
          </w:p>
        </w:tc>
      </w:tr>
      <w:tr>
        <w:tc>
          <w:tcPr>
            <w:tcW w:type="dxa" w:w="3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SQL Server</w:t>
            </w:r>
          </w:p>
        </w:tc>
        <w:tc>
          <w:tcPr>
            <w:tcW w:type="dxa" w:w="6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Tablas, vistas, SP, triggers y job de alarmas. Scripts en scripts\RQM Complemento Consulta de Logs.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Criterios aplicados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Clean Architecture: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la UI solo llama servicios de Application; los modelos se definen por caso de uso.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SQL siempre parametrizado: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StoredProcedureCommand arma `EXEC SP @p = @p` con SqlParameter tipados; los parámetros nulos no se envían y el SP aplica su valor por defecto. Nunca se concatena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tipados: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reporte tocado recibe una clase de filtro (por ejemplo CustomerOrderReportFilter) en lugar de una cadena.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Codificación: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archivos nuevos o tocados en UTF-8 sin BOM con CRLF (el repositorio normaliza a LF; el checkout de Windows con autocrlf los deja en CRLF).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Filtros Sí/No/Todos: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RadzenCheckBox TriState TValue="bool?" (null = Todos).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Componentes compartidos sin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(por ejemplo MultiReferencePicker).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BASE DE DATOS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Scripts de despliegue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Carpeta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Todos son re-ejecutables. El orden y las notas están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LEEME - Orden de despliegue.txt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100"/>
        <w:gridCol w:w="56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01 - Indices Log y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calculadas no persistidas (TEMPLATE_HASH, LEVEL_KEY, ENTITY_KEY_HASH) e índices IX_Logs_TimeStamp, IX_Logs_Template_TimeStamp, IX_track_Entity_Date, IX_track_Entity_Key.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02 - Ofuscar historico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Enmascara credenciales en el histórico de log.track (por lotes).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03 - Consulta visualizacion de alarmas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ALARM_VISUALIZATION_LOG_TYPES, VW_ALARM_LOG, VW_ALARM_LOG_VISUALIZATIONS, SP de consulta y roles nuevos.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04 - Alarmas inventario estandar y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T3b/T19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INVENTORY_ALARM_LOG; SP_Set_Minimum_Quantity_Alarm, SP_Set_Out_Of_Stock_Alarm y triggers con @SOURCE; respaldo en RQM_LOGS_OBJECT_BACKUP.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05 - Job verificacion alarmas log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T3c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Pasos del job 'Verificacion Alarmas' registran sus inactivaciones (requiere permisos en msdb).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06 - Consulta log alarmas inventario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T4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SP_GET_INVENTORY_ALARM_LOG.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07 / 08 / 09 - Track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T6/T6b/T6c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Catálogo de entidades, índice de objetos de negocio (LOG_TRACK_OBJECTS, trigger y carga histórica ~5 min por 1,2 M de movimientos), nombres de campo en español.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10 - Logs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T10–T13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SP_GET_ORDER_DOCUMENT_LOG.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11 - Logs ordenes de compra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T14a/b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SP_GET_PURCHASE_ORDER_ADJUSTMENT_LOG y SP_GET_APPROVAL_RANGE_LOG.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12 - Log general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SP_GET_GENERAL_LOG_GROUPS / OCCURRENCES / DETAIL / SOURCES.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13 - Log automata existencias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T15b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log.SP_INSERT_AUTOMATA_EXISTENCIAS_LOG (+ NLog.config del autómata).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14 - Marca precio bomba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items.IS_BOMB_PRICE y columna IsBombPrice en SP_GET_MINIMUM_QUANTITY_ALARMS.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15 - Estado log ajustes OC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T18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Corrige el estado en PURCHASE_ORDER_ADJUSTMENT_LOG (con respaldo).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16 - Precio bomba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T20–T22b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Filtros de tres estados en SP de Artículos y referencias, Stock mínimo y Movimiento de referencia.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17 - Pedido especial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T23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customer_orders.IS_SPECIAL_ORDER BIT NOT NULL DEFAULT 0 y nombre en Track.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18 - Pedido especial en reportes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T26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@IsSpecialOrder y columna IsSpecialOrder en 8 SP de reportes de pedidos.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19 - Pedido especial en logs de despachos y traslados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T27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IS_SPECIAL_ORDER en SP_GET_ORDER_DOCUMENT_LOG. Se despliega con la app.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20 - Consecutivos de referencia interna</w:t>
            </w:r>
          </w:p>
        </w:tc>
        <w:tc>
          <w:tcPr>
            <w:tcW w:type="dxa" w:w="11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E4 C1</w:t>
            </w:r>
          </w:p>
        </w:tc>
        <w:tc>
          <w:tcPr>
            <w:tcW w:type="dxa" w:w="5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INTERNAL_REFERENCE_CODES, INTERNAL_REFERENCE_CONSECUTIVES (solo disponibles), FN_INTERNAL_REFERENCE_USED_CONSECUTIVES, SP_PURGE_USED_..., SP de consulta y de generación (transacción con bloqueo por código).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Respaldo y 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SP existentes que se modifican se respaldan la primera vez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dbo.RQM_LOGS_OBJECT_BACKUP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(OBJECT_NAME, OBJECT_TYPE, DEFINITION, BACKUP_DATE). Los scripts 16 y 18 construyen cada SP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siempre desde la definición respaldada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validan su estructura con THROW antes de alterarlo; si la estructura no es la esperada, el script se detiene sin cambiar nada.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Reversas disponibles 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Despliegue\Reversa\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04, 05, 14, 15, 16, 17, 18, 19 y 20. Antes de ejecutar una reversa se publica la versión de la aplicación sin la funcionalidad correspondiente.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Objetos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200"/>
        <w:gridCol w:w="4760"/>
      </w:tblGrid>
      <w:tr>
        <w:trPr>
          <w:tblHeader/>
        </w:trP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Objeto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INVENTORY_ALARM_LOG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Refrescos (R) e inactivaciones (I) de alarmas de inventario con estado anterior/nuevo, visualizaciones borradas y origen.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LOG_TRACK_ENTITY_NAMES / LOG_TRACK_FIELD_NAMES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Tablas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Nombres en español de entidades y campos del Track (ENTITY_NAME vacío = general; IS_TECHNICAL oculta llaves internas).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LOG_TRACK_OBJECTS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Índice (tipo de objeto, Id, fecha, movimiento) para buscar en el Track por pedido, OC, artículo, etc.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RQM_LOGS_OBJECT_BACKUP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Definiciones originales para reversa.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items.IS_BOMB_PRICE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Precio bomba (excluyente con IS_SALE_OFF; la regla la aplica la aplicación).</w:t>
            </w:r>
          </w:p>
        </w:tc>
      </w:tr>
      <w:tr>
        <w:tc>
          <w:tcPr>
            <w:tcW w:type="dxa" w:w="3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customer_orders.IS_SPECIAL_ORDER</w:t>
            </w:r>
          </w:p>
        </w:tc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</w:t>
            </w:r>
          </w:p>
        </w:tc>
        <w:tc>
          <w:tcPr>
            <w:tcW w:type="dxa" w:w="4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Marca Pedido especial; default 0.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COMPONENTES DE LA APLICACIÓN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y Track (Entregas 1 y 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Funcionalidad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Servicio / repositorio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 (ruta)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Visualización de alarmas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 / AlarmLogRepository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/alarm_visualization_log/{contexto}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alarmas de inventario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AlarmLogService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/inventory_alarm_events_log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TrackLogService / TrackLogRepository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/track_log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OrderDocumentLogService / OrderDocumentLogRepository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/order_document_log/{tipo}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Ajustes y tolerancias de OC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PurchaseOrderLogService / PurchaseOrderLogRepository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/purchase_order_adjustment_log, /purchase_order_approval_range_log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general</w:t>
            </w:r>
          </w:p>
        </w:tc>
        <w:tc>
          <w:tcPr>
            <w:tcW w:type="dxa" w:w="35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GeneralLogService / GeneralLogRepository</w:t>
            </w:r>
          </w:p>
        </w:tc>
        <w:tc>
          <w:tcPr>
            <w:tcW w:type="dxa" w:w="32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/general_log</w:t>
            </w:r>
          </w:p>
        </w:tc>
      </w:tr>
    </w:tbl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Ofuscación en el 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Atributo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[TrackMasked]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TrackValueMasker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el Track guarda "******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o "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**** (modificada)"; nunca el valor ni un hash. Campos marcados: FtpWritingConnection.Password, InventoryAutomationConnection.Password y NotificationProviderSetting.Settings (claves password, pwd, secret, token del JSON). 19 entidades adicionales implementan ITrackeabl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(T8, T9, T20–T22b)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Item (entidad, modelo, configuración EF, ItemRepository.UpdateAsync) con IsBombPrice; regla de sufijos en Models/ItemNameMarks.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ArticleInventoryDialog y Shared/ArticleImageLocator: etiqueta $ BOMBA. Excel del correo: ExcelImageAttribute.BadgeProperty, ExcelIgnoreAttribute y FileBytesGeneratorService.Badges.cs.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Reportes con filtros tipados (ItemReferences, MinimumWarehouseStock, ReferenceMovementReportFilter) y StoredProcedureCommand.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Pedido especial (T23–T28)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Tarea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T23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 (entidad, configuración, modelo)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T24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AddCustomerOrder, AddCustomerOrderFromReservation, EditCustomerOrder; SpecialOrderOptions (opciones Sí/No, mensajes de confirmación); CustomerOrderRepository.AddAsync/UpdateAsync.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T25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CustomerOrders (columna y filtro; CustomerOrderService/Repository.GetAsync con bool? isSpecialOrder), CustomerOrderDetails, CustomerOrderSummary + InternalOnlyContent (retira filas/celdas class="internal-only" del PDF que se envía por correo).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T26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CustomerOrderReportFilter + CustomerOrderReportCommand (Pedidos, Back order, Actividades, Ventas y exportaciones); AutomaticAssigmentReportFilter y AutomaticPendingCustomerOrderInProcessReportFilter; CustomerOrderReportFilterExtensions (pantalla → filtro y query string).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T27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Columnas en logs de pedidos; OrderDocumentLogEntry/Item con IsSpecialOrder.</w:t>
            </w:r>
          </w:p>
        </w:tc>
      </w:tr>
      <w:tr>
        <w:tc>
          <w:tcPr>
            <w:tcW w:type="dxa" w:w="12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T28</w:t>
            </w:r>
          </w:p>
        </w:tc>
        <w:tc>
          <w:tcPr>
            <w:tcW w:type="dxa" w:w="8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Tablero (CustomerOrderExpiration, ConfirmedPurchaseOrder, AutomaticInProcessModification) — DashBoardService completa el dato con GetSpecialCustomerOrderIdsAsync; pantallas de despachos y traslados.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Consecutivos de referencia interna (E4)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BD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FN_INTERNAL_REFERENCE_USED_CONSECUTIVES busca INTERNAL_REFERENCE LIKE 'CÓDIGO-%' (código escapado: '%', '_' y '[' no son comodines; el guion separa MU de MUX) y toma el bloque de 2 o 3 dígitos que sigue al guion, terminado o seguido de '-' y un complemento (MU-001, MU-001-1, MU-001-02, MU-001-X = 1; las referencias actuales de 2 dígitos, MU-25, equivalen a 025). Devuelve el valor numérico. INTERNAL_REFERENCE_CONSECUTIVES conserva solo disponibles: SP_PURGE_USED_INTERNAL_REFERENCE_CONSECUTIVES elimina los usados en items al Consultar y al Generar (la tabla no crece como items). SP_GENERATE_INTERNAL_REFERENCE_CONSECUTIVES completa hasta @Quantity disponibles (crea @Quantity − disponibles a partir del mayor entre disponibles y usados + 1), devuelve todos los disponibles con IsNew, y bloquea el código (UPDLOCK, HOLDLOCK): generaciones concurrentes se serializan.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DataAccess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InternalReferenceConsecutiveEntry (keyless) e InternalReferenceConsecutiveRepository (StoredProcedureCommand).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Application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InternalReferenceConsecutiveService, InternalReferenceCodeRules (máx. 6 caracteres: CÓDIGO-NNN debe caber en items.INTERNAL_REFERENCE varchar(10)).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Web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Pages/ItemPages/InternalReferenceConsecutives (/internal-reference-consecutives), menú Administración.</w:t>
            </w:r>
          </w:p>
        </w:tc>
      </w:tr>
      <w:tr>
        <w:tc>
          <w:tcPr>
            <w:tcW w:type="dxa" w:w="1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Pruebas</w:t>
            </w:r>
          </w:p>
        </w:tc>
        <w:tc>
          <w:tcPr>
            <w:tcW w:type="dxa" w:w="7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Proyecto Aldebaran.Application.Services.Tests (xUnit): reglas y servicio. Ejecutar con dotnet test.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Exportaciones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(ExportAldebaranDbController): requieren usuario autenticado ([Authorize]) y reciben los filtros tipados por la cadena de consulta. Antes ejecutaban el SQL recibido en la URL sin autenticación.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reportes de pedidos (8 SP) dejaron de concatenar SQL.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Credenciales ofuscadas en el Track (actual e histórico).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Consultas de log con lectura sin bloqueos (READ UNCOMMITTED) e índices dedicados: no afectan la operación.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Deuda técnica registrada para análisis posterior: 9 reportes fuera del alcance todavía arman SQL concatenado (OC, Reservas, Inventario, Traslados, Ajustes, Stock de bodega, Proveedor-referencias, Zona franca, Inventario en proceso).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DESPLIEGUE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Respaldar la base de datos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Ejecutar los scripts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Despliegue\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orden (01–20) sobre la BD Aldebaran. Los scripts 16, 18 y 19 se ejecutan en la misma ventana en que se publica la aplicación.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de la aplicación.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 reemplazar appsettings de producción.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Autómata de Existencias: desplegar el NLog.config actualizado (target asyncDatabase → log.SP_INSERT_AUTOMATA_EXISTENCIAS_LOG), dar EXECUTE a su usuario de BD y reiniciar el servicio.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Validar el script 05 con permisos sobre msdb.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Asignar los roles nuevos (Log del sistema, Log de inventarios) a los usuarios que correspondan.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Verificación: abrir Log general y confirmar el origen AutomataExistencias; crear un pedido de prueba con Pedido especial; ejecutar un reporte de pedidos.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Reversa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Publicar la versión anterior de la aplicación y ejecutar las reversas en orden inverso (20, 19, 18, 17, 16, 15, 14, 05, 04). Las tablas de log se conservan.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SOPORTE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900"/>
        <w:gridCol w:w="34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Síntoma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Causa probable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Script 16/18 termina con "no tiene la estructura esperada".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SP en esa BD difiere de la versión validada.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forzar. Comparar la definición con RQM_LOGS_OBJECT_BACKUP y ajustar el script.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 de pedidos falla con columna IsSpecialOrder.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publicó la app sin ejecutar el script 18 (o al revés).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Desplegar script y app juntos.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Exportación pide inicio de sesión.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Comportamiento esperado.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Exportar desde la aplicación con sesión iniciada.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aparece el origen AutomataExistencias.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NLog.config no desplegado o sin permiso EXECUTE.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Revisar el despliegue del autómata.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Track muestra nombres técnicos.</w:t>
            </w:r>
          </w:p>
        </w:tc>
        <w:tc>
          <w:tcPr>
            <w:tcW w:type="dxa" w:w="29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Campo nuevo sin nombre en LOG_TRACK_FIELD_NAMES.</w:t>
            </w:r>
          </w:p>
        </w:tc>
        <w:tc>
          <w:tcPr>
            <w:tcW w:type="dxa" w:w="34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Agregar la fila (ENTITY_NAME vacío o específico).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Técnico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– Complemento Consulta de Logs</dc:title>
  <dc:creator>Aldebaran Web</dc:creator>
  <cp:lastModifiedBy>Un-named</cp:lastModifiedBy>
  <cp:revision>1</cp:revision>
  <dcterms:created xsi:type="dcterms:W3CDTF">2026-10-24T19:14:24.619Z</dcterms:created>
  <dcterms:modified xsi:type="dcterms:W3CDTF">2026-10-24T19:14:24.619Z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