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/>
      </w:r>
    </w:p>
    <w:p>
      <w:pPr>
        <w:spacing w:after="12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/>
      </w:r>
    </w:p>
    <w:p>
      <w:pPr>
        <w:spacing w:after="12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/>
      </w:r>
    </w:p>
    <w:p>
      <w:pPr>
        <w:spacing w:after="0"/>
        <w:jc w:val="right"/>
      </w:pPr>
      <w:r>
        <w:rPr>
          <w:rFonts w:ascii="Century Gothic" w:cs="Century Gothic" w:eastAsia="Century Gothic" w:hAnsi="Century Gothic"/>
          <w:color w:val="7F7F7F"/>
          <w:sz w:val="36"/>
          <w:szCs w:val="36"/>
        </w:rPr>
        <w:t xml:space="preserve">MANUAL TÉCNICO</w:t>
      </w:r>
    </w:p>
    <w:p>
      <w:pPr>
        <w:spacing w:after="0"/>
        <w:jc w:val="right"/>
      </w:pPr>
      <w:r>
        <w:rPr>
          <w:rFonts w:ascii="Century Gothic" w:cs="Century Gothic" w:eastAsia="Century Gothic" w:hAnsi="Century Gothic"/>
          <w:color w:val="000000"/>
          <w:sz w:val="44"/>
          <w:szCs w:val="44"/>
        </w:rPr>
        <w:t xml:space="preserve">NUEVAS FUNCIONALIDADES</w:t>
      </w:r>
    </w:p>
    <w:p>
      <w:pPr>
        <w:spacing w:after="1200"/>
        <w:jc w:val="right"/>
      </w:pPr>
      <w:r>
        <w:rPr>
          <w:rFonts w:ascii="Century Gothic" w:cs="Century Gothic" w:eastAsia="Century Gothic" w:hAnsi="Century Gothic"/>
          <w:color w:val="000000"/>
          <w:sz w:val="44"/>
          <w:szCs w:val="44"/>
        </w:rPr>
        <w:t xml:space="preserve">PARA ALDEBARAN WEB</w:t>
      </w:r>
    </w:p>
    <w:p>
      <w:pPr>
        <w:spacing w:after="0"/>
        <w:jc w:val="right"/>
      </w:pPr>
      <w:r>
        <w:rPr>
          <w:rFonts w:ascii="Century Gothic" w:cs="Century Gothic" w:eastAsia="Century Gothic" w:hAnsi="Century Gothic"/>
          <w:color w:val="000000"/>
          <w:sz w:val="30"/>
          <w:szCs w:val="30"/>
        </w:rPr>
        <w:t xml:space="preserve">Complemento Módulo de Consulta de Logs,</w:t>
      </w:r>
    </w:p>
    <w:p>
      <w:pPr>
        <w:spacing w:after="1600"/>
        <w:jc w:val="right"/>
      </w:pPr>
      <w:r>
        <w:rPr>
          <w:rFonts w:ascii="Century Gothic" w:cs="Century Gothic" w:eastAsia="Century Gothic" w:hAnsi="Century Gothic"/>
          <w:color w:val="000000"/>
          <w:sz w:val="30"/>
          <w:szCs w:val="30"/>
        </w:rPr>
        <w:t xml:space="preserve">Precio Bomba y Pedido Especial</w:t>
      </w:r>
    </w:p>
    <w:p>
      <w:pPr>
        <w:spacing w:after="0"/>
        <w:jc w:val="center"/>
      </w:pPr>
      <w:r>
        <w:rPr>
          <w:rFonts w:ascii="Century Gothic" w:cs="Century Gothic" w:eastAsia="Century Gothic" w:hAnsi="Century Gothic"/>
          <w:color w:val="7F7F7F"/>
          <w:sz w:val="32"/>
          <w:szCs w:val="32"/>
        </w:rPr>
        <w:t xml:space="preserve">Para</w:t>
      </w:r>
    </w:p>
    <w:p>
      <w:pPr>
        <w:spacing w:after="2000"/>
        <w:jc w:val="center"/>
      </w:pPr>
      <w:r>
        <w:rPr>
          <w:rFonts w:ascii="Century Gothic" w:cs="Century Gothic" w:eastAsia="Century Gothic" w:hAnsi="Century Gothic"/>
          <w:color w:val="000000"/>
          <w:sz w:val="40"/>
          <w:szCs w:val="40"/>
        </w:rPr>
        <w:t xml:space="preserve">PROMOS</w:t>
      </w:r>
    </w:p>
    <w:p>
      <w:pPr>
        <w:spacing w:after="0"/>
        <w:jc w:val="center"/>
      </w:pPr>
      <w:r>
        <w:rPr>
          <w:rFonts w:ascii="Century Gothic" w:cs="Century Gothic" w:eastAsia="Century Gothic" w:hAnsi="Century Gothic"/>
          <w:color w:val="000000"/>
          <w:sz w:val="20"/>
          <w:szCs w:val="20"/>
        </w:rPr>
        <w:t xml:space="preserve">Bogotá, octubre de 2026</w:t>
      </w:r>
    </w:p>
    <w:p>
      <w:r>
        <w:br w:type="page"/>
      </w:r>
    </w:p>
    <w:p>
      <w:pPr>
        <w:spacing w:after="12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ALCANCE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Documenta la solución técnica del requerimiento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Complemento del módulo de Consulta de Logs y Marca de Oferta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(rama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RQM-ComplementoLogs+SaleOff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): objetos de base de datos, componentes por capa, seguridad, despliegue, reversa y soporte.</w:t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ARQUITECTURA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La solución respeta la arquitectura existente de Aldebarán Web (Blazor Server + Radzen, .NET, Entity Framework Core 7, SQL Server):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Capa / proyecto</w:t>
            </w:r>
          </w:p>
        </w:tc>
        <w:tc>
          <w:tcPr>
            <w:tcW w:type="dxa" w:w="6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Responsabilidad</w:t>
            </w:r>
          </w:p>
        </w:tc>
      </w:tr>
      <w:tr>
        <w:tc>
          <w:tcPr>
            <w:tcW w:type="dxa" w:w="3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Aldebaran.Web</w:t>
            </w:r>
          </w:p>
        </w:tc>
        <w:tc>
          <w:tcPr>
            <w:tcW w:type="dxa" w:w="6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Pantallas Razor, view models de pantalla, menú (Shared/MainLayout.razor) y controladores de exportación. No conoce la capa de datos.</w:t>
            </w:r>
          </w:p>
        </w:tc>
      </w:tr>
      <w:tr>
        <w:tc>
          <w:tcPr>
            <w:tcW w:type="dxa" w:w="3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Aldebaran.Application.Services</w:t>
            </w:r>
          </w:p>
        </w:tc>
        <w:tc>
          <w:tcPr>
            <w:tcW w:type="dxa" w:w="6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Casos de uso: servicios, modelos por caso de uso, filtros tipados, validaciones y mapeo (AutoMapper, ApplicationServicesProfile).</w:t>
            </w:r>
          </w:p>
        </w:tc>
      </w:tr>
      <w:tr>
        <w:tc>
          <w:tcPr>
            <w:tcW w:type="dxa" w:w="3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Aldebaran.DataAccess</w:t>
            </w:r>
          </w:p>
        </w:tc>
        <w:tc>
          <w:tcPr>
            <w:tcW w:type="dxa" w:w="6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Entidades, configuración EF, AldebaranDbContext (TrackEntities) y triggers EF de inventario.</w:t>
            </w:r>
          </w:p>
        </w:tc>
      </w:tr>
      <w:tr>
        <w:tc>
          <w:tcPr>
            <w:tcW w:type="dxa" w:w="3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Aldebaran.DataAccess.Infraestructure</w:t>
            </w:r>
          </w:p>
        </w:tc>
        <w:tc>
          <w:tcPr>
            <w:tcW w:type="dxa" w:w="6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Repositorios. Los SP se llaman con StoredProcedureCommand (parámetros SqlParameter nombrados).</w:t>
            </w:r>
          </w:p>
        </w:tc>
      </w:tr>
      <w:tr>
        <w:tc>
          <w:tcPr>
            <w:tcW w:type="dxa" w:w="3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SQL Server</w:t>
            </w:r>
          </w:p>
        </w:tc>
        <w:tc>
          <w:tcPr>
            <w:tcW w:type="dxa" w:w="6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Tablas, vistas, SP, triggers y job de alarmas. Scripts en scripts\RQM Complemento Consulta de Logs.</w:t>
            </w:r>
          </w:p>
        </w:tc>
      </w:tr>
    </w:tbl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Criterios aplicados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Clean Architecture: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la UI solo llama servicios de Application; los modelos se definen por caso de uso.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SQL siempre parametrizado: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StoredProcedureCommand arma `EXEC SP @p = @p` con SqlParameter tipados; los parámetros nulos no se envían y el SP aplica su valor por defecto. Nunca se concatena SQL.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Filtros tipados: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cada reporte tocado recibe una clase de filtro (por ejemplo CustomerOrderReportFilter) en lugar de una cadena.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Codificación: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archivos nuevos o tocados en UTF-8 sin BOM con CRLF (el repositorio normaliza a LF; el checkout de Windows con autocrlf los deja en CRLF).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Filtros Sí/No/Todos: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RadzenCheckBox TriState TValue="bool?" (null = Todos).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Componentes compartidos sin modificar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(por ejemplo MultiReferencePicker).</w:t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BASE DE DATOS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Scripts de despliegue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Carpeta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Despliegue\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 Todos son re-ejecutables. El orden y las notas están en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LEEME - Orden de despliegue.txt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100"/>
        <w:gridCol w:w="5660"/>
      </w:tblGrid>
      <w:tr>
        <w:trPr>
          <w:tblHeader/>
        </w:trP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Script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Tarea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Contenido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01 - Indices Log y Track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T1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Columnas calculadas no persistidas (TEMPLATE_HASH, LEVEL_KEY, ENTITY_KEY_HASH) e índices IX_Logs_TimeStamp, IX_Logs_Template_TimeStamp, IX_track_Entity_Date, IX_track_Entity_Key.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02 - Ofuscar historico Track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T2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Enmascara credenciales en el histórico de log.track (por lotes).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03 - Consulta visualizacion de alarmas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T3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ALARM_VISUALIZATION_LOG_TYPES, VW_ALARM_LOG, VW_ALARM_LOG_VISUALIZATIONS, SP de consulta y roles nuevos.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04 - Alarmas inventario estandar y log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T3b/T19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INVENTORY_ALARM_LOG; SP_Set_Minimum_Quantity_Alarm, SP_Set_Out_Of_Stock_Alarm y triggers con @SOURCE; respaldo en RQM_LOGS_OBJECT_BACKUP.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05 - Job verificacion alarmas log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T3c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Pasos del job 'Verificacion Alarmas' registran sus inactivaciones (requiere permisos en msdb).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06 - Consulta log alarmas inventario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T4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SP_GET_INVENTORY_ALARM_LOG.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07 / 08 / 09 - Track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T6/T6b/T6c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Catálogo de entidades, índice de objetos de negocio (LOG_TRACK_OBJECTS, trigger y carga histórica ~5 min por 1,2 M de movimientos), nombres de campo en español.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10 - Logs despachos y traslados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T10–T13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SP_GET_ORDER_DOCUMENT_LOG.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11 - Logs ordenes de compra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T14a/b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SP_GET_PURCHASE_ORDER_ADJUSTMENT_LOG y SP_GET_APPROVAL_RANGE_LOG.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12 - Log general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T15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SP_GET_GENERAL_LOG_GROUPS / OCCURRENCES / DETAIL / SOURCES.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13 - Log automata existencias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T15b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log.SP_INSERT_AUTOMATA_EXISTENCIAS_LOG (+ NLog.config del autómata).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14 - Marca precio bomba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T8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items.IS_BOMB_PRICE y columna IsBombPrice en SP_GET_MINIMUM_QUANTITY_ALARMS.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15 - Estado log ajustes OC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T18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Corrige el estado en PURCHASE_ORDER_ADJUSTMENT_LOG (con respaldo).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16 - Precio bomba en reportes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T20–T22b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Filtros de tres estados en SP de Artículos y referencias, Stock mínimo y Movimiento de referencia. Se despliega con la app.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17 - Pedido especial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T23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customer_orders.IS_SPECIAL_ORDER BIT NOT NULL DEFAULT 0 y nombre en Track.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18 - Pedido especial en reportes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T26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@IsSpecialOrder y columna IsSpecialOrder en 8 SP de reportes de pedidos. Se despliega con la app.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19 - Pedido especial en logs de despachos y traslados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T27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Columna IS_SPECIAL_ORDER en SP_GET_ORDER_DOCUMENT_LOG. Se despliega con la app.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20 - Consecutivos de referencia interna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E4 C1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INTERNAL_REFERENCE_CODES, INTERNAL_REFERENCE_CONSECUTIVES (solo disponibles), FN_INTERNAL_REFERENCE_USED_CONSECUTIVES, SP_PURGE_USED_..., SP de consulta y de generación (transacción con bloqueo por código).</w:t>
            </w:r>
          </w:p>
        </w:tc>
      </w:tr>
    </w:tbl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Respaldo y reversa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Los SP existentes que se modifican se respaldan la primera vez en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dbo.RQM_LOGS_OBJECT_BACKUP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(OBJECT_NAME, OBJECT_TYPE, DEFINITION, BACKUP_DATE). Los scripts 16 y 18 construyen cada SP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siempre desde la definición respaldada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y validan su estructura con THROW antes de alterarlo; si la estructura no es la esperada, el script se detiene sin cambiar nada.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Reversas disponibles en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Despliegue\Reversa\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: 04, 05, 14, 15, 16, 17, 18, 19 y 20. Antes de ejecutar una reversa se publica la versión de la aplicación sin la funcionalidad correspondiente.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Objetos principales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200"/>
        <w:gridCol w:w="4760"/>
      </w:tblGrid>
      <w:tr>
        <w:trPr>
          <w:tblHeader/>
        </w:trPr>
        <w:tc>
          <w:tcPr>
            <w:tcW w:type="dxa" w:w="3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Objeto</w:t>
            </w:r>
          </w:p>
        </w:tc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Uso</w:t>
            </w:r>
          </w:p>
        </w:tc>
      </w:tr>
      <w:tr>
        <w:tc>
          <w:tcPr>
            <w:tcW w:type="dxa" w:w="3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INVENTORY_ALARM_LOG</w:t>
            </w:r>
          </w:p>
        </w:tc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Tabla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Refrescos (R) e inactivaciones (I) de alarmas de inventario con estado anterior/nuevo, visualizaciones borradas y origen.</w:t>
            </w:r>
          </w:p>
        </w:tc>
      </w:tr>
      <w:tr>
        <w:tc>
          <w:tcPr>
            <w:tcW w:type="dxa" w:w="3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LOG_TRACK_ENTITY_NAMES / LOG_TRACK_FIELD_NAMES</w:t>
            </w:r>
          </w:p>
        </w:tc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Tablas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Nombres en español de entidades y campos del Track (ENTITY_NAME vacío = general; IS_TECHNICAL oculta llaves internas).</w:t>
            </w:r>
          </w:p>
        </w:tc>
      </w:tr>
      <w:tr>
        <w:tc>
          <w:tcPr>
            <w:tcW w:type="dxa" w:w="3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LOG_TRACK_OBJECTS</w:t>
            </w:r>
          </w:p>
        </w:tc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Tabla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Índice (tipo de objeto, Id, fecha, movimiento) para buscar en el Track por pedido, OC, artículo, etc.</w:t>
            </w:r>
          </w:p>
        </w:tc>
      </w:tr>
      <w:tr>
        <w:tc>
          <w:tcPr>
            <w:tcW w:type="dxa" w:w="3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RQM_LOGS_OBJECT_BACKUP</w:t>
            </w:r>
          </w:p>
        </w:tc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Tabla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Definiciones originales para reversa.</w:t>
            </w:r>
          </w:p>
        </w:tc>
      </w:tr>
      <w:tr>
        <w:tc>
          <w:tcPr>
            <w:tcW w:type="dxa" w:w="3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items.IS_BOMB_PRICE</w:t>
            </w:r>
          </w:p>
        </w:tc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Columna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Marca Precio bomba (excluyente con IS_SALE_OFF; la regla la aplica la aplicación).</w:t>
            </w:r>
          </w:p>
        </w:tc>
      </w:tr>
      <w:tr>
        <w:tc>
          <w:tcPr>
            <w:tcW w:type="dxa" w:w="3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customer_orders.IS_SPECIAL_ORDER</w:t>
            </w:r>
          </w:p>
        </w:tc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Columna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Marca Pedido especial; default 0.</w:t>
            </w:r>
          </w:p>
        </w:tc>
      </w:tr>
    </w:tbl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COMPONENTES DE LA APLICACIÓN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Logs y Track (Entregas 1 y 2)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500"/>
        <w:gridCol w:w="3260"/>
      </w:tblGrid>
      <w:tr>
        <w:trPr>
          <w:tblHeader/>
        </w:trP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Funcionalidad</w:t>
            </w:r>
          </w:p>
        </w:tc>
        <w:tc>
          <w:tcPr>
            <w:tcW w:type="dxa" w:w="3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Servicio / repositorio</w:t>
            </w:r>
          </w:p>
        </w:tc>
        <w:tc>
          <w:tcPr>
            <w:tcW w:type="dxa" w:w="32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Pantalla (ruta)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Visualización de alarmas</w:t>
            </w:r>
          </w:p>
        </w:tc>
        <w:tc>
          <w:tcPr>
            <w:tcW w:type="dxa" w:w="3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AlarmLogService / AlarmLogRepository</w:t>
            </w:r>
          </w:p>
        </w:tc>
        <w:tc>
          <w:tcPr>
            <w:tcW w:type="dxa" w:w="32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/alarm_visualization_log/{contexto}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Log de alarmas de inventario</w:t>
            </w:r>
          </w:p>
        </w:tc>
        <w:tc>
          <w:tcPr>
            <w:tcW w:type="dxa" w:w="3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AlarmLogService</w:t>
            </w:r>
          </w:p>
        </w:tc>
        <w:tc>
          <w:tcPr>
            <w:tcW w:type="dxa" w:w="32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/inventory_alarm_events_log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Track</w:t>
            </w:r>
          </w:p>
        </w:tc>
        <w:tc>
          <w:tcPr>
            <w:tcW w:type="dxa" w:w="3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TrackLogService / TrackLogRepository</w:t>
            </w:r>
          </w:p>
        </w:tc>
        <w:tc>
          <w:tcPr>
            <w:tcW w:type="dxa" w:w="32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/track_log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Despachos y traslados</w:t>
            </w:r>
          </w:p>
        </w:tc>
        <w:tc>
          <w:tcPr>
            <w:tcW w:type="dxa" w:w="3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OrderDocumentLogService / OrderDocumentLogRepository</w:t>
            </w:r>
          </w:p>
        </w:tc>
        <w:tc>
          <w:tcPr>
            <w:tcW w:type="dxa" w:w="32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/order_document_log/{tipo}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Ajustes y tolerancias de OC</w:t>
            </w:r>
          </w:p>
        </w:tc>
        <w:tc>
          <w:tcPr>
            <w:tcW w:type="dxa" w:w="3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PurchaseOrderLogService / PurchaseOrderLogRepository</w:t>
            </w:r>
          </w:p>
        </w:tc>
        <w:tc>
          <w:tcPr>
            <w:tcW w:type="dxa" w:w="32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/purchase_order_adjustment_log, /purchase_order_approval_range_log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Log general</w:t>
            </w:r>
          </w:p>
        </w:tc>
        <w:tc>
          <w:tcPr>
            <w:tcW w:type="dxa" w:w="3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GeneralLogService / GeneralLogRepository</w:t>
            </w:r>
          </w:p>
        </w:tc>
        <w:tc>
          <w:tcPr>
            <w:tcW w:type="dxa" w:w="32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/general_log</w:t>
            </w:r>
          </w:p>
        </w:tc>
      </w:tr>
    </w:tbl>
    <w:p>
      <w:pPr>
        <w:pStyle w:val="Heading3"/>
        <w:spacing w:after="80" w:before="160"/>
      </w:pPr>
      <w:r>
        <w:rPr>
          <w:rFonts w:ascii="Century Gothic" w:cs="Century Gothic" w:eastAsia="Century Gothic" w:hAnsi="Century Gothic"/>
          <w:b/>
          <w:bCs/>
          <w:color w:val="215E99"/>
          <w:sz w:val="21"/>
          <w:szCs w:val="21"/>
        </w:rPr>
        <w:t xml:space="preserve">Ofuscación en el Track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Atributo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[TrackMasked]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y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TrackValueMasker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: el Track guarda "******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" o "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**** (modificada)"; nunca el valor ni un hash. Campos marcados: FtpWritingConnection.Password, InventoryAutomationConnection.Password y NotificationProviderSetting.Settings (claves password, pwd, secret, token del JSON). 19 entidades adicionales implementan ITrackeabl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Precio bomba (T8, T9, T20–T22b)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Item (entidad, modelo, configuración EF, ItemRepository.UpdateAsync) con IsBombPrice; regla de sufijos en Models/ItemNameMarks.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ArticleInventoryDialog y Shared/ArticleImageLocator: etiqueta $ BOMBA. Excel del correo: ExcelImageAttribute.BadgeProperty, ExcelIgnoreAttribute y FileBytesGeneratorService.Badges.cs.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Reportes con filtros tipados (ItemReferences, MinimumWarehouseStock, ReferenceMovementReportFilter) y StoredProcedureCommand.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Pedido especial (T23–T28)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rPr>
          <w:tblHeader/>
        </w:trPr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Tarea</w:t>
            </w:r>
          </w:p>
        </w:tc>
        <w:tc>
          <w:tcPr>
            <w:tcW w:type="dxa" w:w="8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Componentes</w:t>
            </w:r>
          </w:p>
        </w:tc>
      </w:tr>
      <w:tr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T23</w:t>
            </w:r>
          </w:p>
        </w:tc>
        <w:tc>
          <w:tcPr>
            <w:tcW w:type="dxa" w:w="8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CustomerOrder (entidad, configuración, modelo) con IsSpecialOrder.</w:t>
            </w:r>
          </w:p>
        </w:tc>
      </w:tr>
      <w:tr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T24</w:t>
            </w:r>
          </w:p>
        </w:tc>
        <w:tc>
          <w:tcPr>
            <w:tcW w:type="dxa" w:w="8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AddCustomerOrder, AddCustomerOrderFromReservation, EditCustomerOrder; SpecialOrderOptions (opciones Sí/No, mensajes de confirmación); CustomerOrderRepository.AddAsync/UpdateAsync.</w:t>
            </w:r>
          </w:p>
        </w:tc>
      </w:tr>
      <w:tr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T25</w:t>
            </w:r>
          </w:p>
        </w:tc>
        <w:tc>
          <w:tcPr>
            <w:tcW w:type="dxa" w:w="8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CustomerOrders (columna y filtro; CustomerOrderService/Repository.GetAsync con bool? isSpecialOrder), CustomerOrderDetails, CustomerOrderSummary + InternalOnlyContent (retira filas/celdas class="internal-only" del PDF que se envía por correo).</w:t>
            </w:r>
          </w:p>
        </w:tc>
      </w:tr>
      <w:tr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T26</w:t>
            </w:r>
          </w:p>
        </w:tc>
        <w:tc>
          <w:tcPr>
            <w:tcW w:type="dxa" w:w="8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CustomerOrderReportFilter + CustomerOrderReportCommand (Pedidos, Back order, Actividades, Ventas y exportaciones); AutomaticAssigmentReportFilter y AutomaticPendingCustomerOrderInProcessReportFilter; CustomerOrderReportFilterExtensions (pantalla → filtro y query string).</w:t>
            </w:r>
          </w:p>
        </w:tc>
      </w:tr>
      <w:tr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T27</w:t>
            </w:r>
          </w:p>
        </w:tc>
        <w:tc>
          <w:tcPr>
            <w:tcW w:type="dxa" w:w="8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Columnas en logs de pedidos; OrderDocumentLogEntry/Item con IsSpecialOrder.</w:t>
            </w:r>
          </w:p>
        </w:tc>
      </w:tr>
      <w:tr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T28</w:t>
            </w:r>
          </w:p>
        </w:tc>
        <w:tc>
          <w:tcPr>
            <w:tcW w:type="dxa" w:w="8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Tablero (CustomerOrderExpiration, ConfirmedPurchaseOrder, AutomaticInProcessModification) — DashBoardService completa el dato con GetSpecialCustomerOrderIdsAsync; pantallas de despachos y traslados.</w:t>
            </w:r>
          </w:p>
        </w:tc>
      </w:tr>
    </w:tbl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Consecutivos de referencia interna (E4)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rPr>
          <w:tblHeader/>
        </w:trPr>
        <w:tc>
          <w:tcPr>
            <w:tcW w:type="dxa" w:w="1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Capa</w:t>
            </w:r>
          </w:p>
        </w:tc>
        <w:tc>
          <w:tcPr>
            <w:tcW w:type="dxa" w:w="7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Componentes</w:t>
            </w:r>
          </w:p>
        </w:tc>
      </w:tr>
      <w:tr>
        <w:tc>
          <w:tcPr>
            <w:tcW w:type="dxa" w:w="1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BD</w:t>
            </w:r>
          </w:p>
        </w:tc>
        <w:tc>
          <w:tcPr>
            <w:tcW w:type="dxa" w:w="7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FN_INTERNAL_REFERENCE_USED_CONSECUTIVES busca INTERNAL_REFERENCE LIKE 'CÓDIGO-%' (código escapado: '%', '_' y '[' no son comodines; el guion separa MU de MUX) y toma el bloque de 2 o 3 dígitos que sigue al guion, terminado o seguido de '-' y un complemento (MU-001, MU-001-1, MU-001-02, MU-001-X = 1; las referencias actuales de 2 dígitos, MU-25, equivalen a 025). Devuelve el valor numérico. INTERNAL_REFERENCE_CONSECUTIVES conserva solo disponibles: SP_PURGE_USED_INTERNAL_REFERENCE_CONSECUTIVES elimina los usados en items al Consultar y al Generar (la tabla no crece como items). SP_GENERATE_INTERNAL_REFERENCE_CONSECUTIVES completa hasta @Quantity disponibles (crea @Quantity − disponibles a partir del mayor entre disponibles y usados + 1), devuelve todos los disponibles con IsNew, y bloquea el código (UPDLOCK, HOLDLOCK): generaciones concurrentes se serializan.</w:t>
            </w:r>
          </w:p>
        </w:tc>
      </w:tr>
      <w:tr>
        <w:tc>
          <w:tcPr>
            <w:tcW w:type="dxa" w:w="1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DataAccess</w:t>
            </w:r>
          </w:p>
        </w:tc>
        <w:tc>
          <w:tcPr>
            <w:tcW w:type="dxa" w:w="7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InternalReferenceConsecutiveEntry (keyless) e InternalReferenceConsecutiveRepository (StoredProcedureCommand).</w:t>
            </w:r>
          </w:p>
        </w:tc>
      </w:tr>
      <w:tr>
        <w:tc>
          <w:tcPr>
            <w:tcW w:type="dxa" w:w="1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Application</w:t>
            </w:r>
          </w:p>
        </w:tc>
        <w:tc>
          <w:tcPr>
            <w:tcW w:type="dxa" w:w="7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InternalReferenceConsecutiveService, InternalReferenceCodeRules (máx. 6 caracteres: CÓDIGO-NNN debe caber en items.INTERNAL_REFERENCE varchar(10)).</w:t>
            </w:r>
          </w:p>
        </w:tc>
      </w:tr>
      <w:tr>
        <w:tc>
          <w:tcPr>
            <w:tcW w:type="dxa" w:w="1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Web</w:t>
            </w:r>
          </w:p>
        </w:tc>
        <w:tc>
          <w:tcPr>
            <w:tcW w:type="dxa" w:w="7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Pages/ItemPages/InternalReferenceConsecutives (/internal-reference-consecutives), menú Administración.</w:t>
            </w:r>
          </w:p>
        </w:tc>
      </w:tr>
      <w:tr>
        <w:tc>
          <w:tcPr>
            <w:tcW w:type="dxa" w:w="1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Pruebas</w:t>
            </w:r>
          </w:p>
        </w:tc>
        <w:tc>
          <w:tcPr>
            <w:tcW w:type="dxa" w:w="7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Proyecto Aldebaran.Application.Services.Tests (xUnit): reglas y servicio. Ejecutar con dotnet test.</w:t>
            </w:r>
          </w:p>
        </w:tc>
      </w:tr>
    </w:tbl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SEGURIDAD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Exportaciones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(ExportAldebaranDbController): requieren usuario autenticado ([Authorize]) y reciben los filtros tipados por la cadena de consulta. Antes ejecutaban el SQL recibido en la URL sin autenticación.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Los reportes de pedidos (8 SP) dejaron de concatenar SQL.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Credenciales ofuscadas en el Track (actual e histórico).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Consultas de log con lectura sin bloqueos (READ UNCOMMITTED) e índices dedicados: no afectan la operación.</w:t>
      </w:r>
    </w:p>
    <w:p>
      <w:pPr>
        <w:spacing w:after="120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Deuda técnica registrada para análisis posterior: 9 reportes fuera del alcance todavía arman SQL concatenado (OC, Reservas, Inventario, Traslados, Ajustes, Stock de bodega, Proveedor-referencias, Zona franca, Inventario en proceso).</w:t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DESPLIEGUE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Respaldar la base de datos de producción.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Ejecutar los scripts de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Despliegue\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en orden (01–20) sobre la BD Aldebaran. Los scripts 16, 18 y 19 se ejecutan en la misma ventana en que se publica la aplicación.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Publicar la versión de la aplicación.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No reemplazar appsettings de producción.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Autómata de Existencias: desplegar el NLog.config actualizado (target asyncDatabase → log.SP_INSERT_AUTOMATA_EXISTENCIAS_LOG), dar EXECUTE a su usuario de BD y reiniciar el servicio.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Validar el script 05 con permisos sobre msdb.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Asignar los roles nuevos (Log del sistema, Log de inventarios) a los usuarios que correspondan.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Verificación: abrir Log general y confirmar el origen AutomataExistencias; crear un pedido de prueba con Pedido especial; ejecutar un reporte de pedidos.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Reversa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Publicar la versión anterior de la aplicación y ejecutar las reversas en orden inverso (20, 19, 18, 17, 16, 15, 14, 05, 04). Las tablas de log se conservan.</w:t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SOPORTE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900"/>
        <w:gridCol w:w="3460"/>
      </w:tblGrid>
      <w:tr>
        <w:trPr>
          <w:tblHeader/>
        </w:trP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Síntoma</w:t>
            </w:r>
          </w:p>
        </w:tc>
        <w:tc>
          <w:tcPr>
            <w:tcW w:type="dxa" w:w="29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Causa probable</w:t>
            </w:r>
          </w:p>
        </w:tc>
        <w:tc>
          <w:tcPr>
            <w:tcW w:type="dxa" w:w="34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Acción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Script 16/18 termina con "no tiene la estructura esperada".</w:t>
            </w:r>
          </w:p>
        </w:tc>
        <w:tc>
          <w:tcPr>
            <w:tcW w:type="dxa" w:w="29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El SP en esa BD difiere de la versión validada.</w:t>
            </w:r>
          </w:p>
        </w:tc>
        <w:tc>
          <w:tcPr>
            <w:tcW w:type="dxa" w:w="34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No forzar. Comparar la definición con RQM_LOGS_OBJECT_BACKUP y ajustar el script.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Reporte de pedidos falla con columna IsSpecialOrder.</w:t>
            </w:r>
          </w:p>
        </w:tc>
        <w:tc>
          <w:tcPr>
            <w:tcW w:type="dxa" w:w="29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Se publicó la app sin ejecutar el script 18 (o al revés).</w:t>
            </w:r>
          </w:p>
        </w:tc>
        <w:tc>
          <w:tcPr>
            <w:tcW w:type="dxa" w:w="34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Desplegar script y app juntos.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Exportación pide inicio de sesión.</w:t>
            </w:r>
          </w:p>
        </w:tc>
        <w:tc>
          <w:tcPr>
            <w:tcW w:type="dxa" w:w="29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Comportamiento esperado.</w:t>
            </w:r>
          </w:p>
        </w:tc>
        <w:tc>
          <w:tcPr>
            <w:tcW w:type="dxa" w:w="34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Exportar desde la aplicación con sesión iniciada.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No aparece el origen AutomataExistencias.</w:t>
            </w:r>
          </w:p>
        </w:tc>
        <w:tc>
          <w:tcPr>
            <w:tcW w:type="dxa" w:w="29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NLog.config no desplegado o sin permiso EXECUTE.</w:t>
            </w:r>
          </w:p>
        </w:tc>
        <w:tc>
          <w:tcPr>
            <w:tcW w:type="dxa" w:w="34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Revisar el despliegue del autómata.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Track muestra nombres técnicos.</w:t>
            </w:r>
          </w:p>
        </w:tc>
        <w:tc>
          <w:tcPr>
            <w:tcW w:type="dxa" w:w="29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Campo nuevo sin nombre en LOG_TRACK_FIELD_NAMES.</w:t>
            </w:r>
          </w:p>
        </w:tc>
        <w:tc>
          <w:tcPr>
            <w:tcW w:type="dxa" w:w="34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Agregar la fila (ENTITY_NAME vacío o específico).</w:t>
            </w:r>
          </w:p>
        </w:tc>
      </w:tr>
    </w:tbl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entury Gothic" w:cs="Century Gothic" w:eastAsia="Century Gothic" w:hAnsi="Century Gothic"/>
        <w:color w:val="7F7F7F"/>
        <w:sz w:val="16"/>
        <w:szCs w:val="16"/>
      </w:rPr>
      <w:t xml:space="preserve">Manual Técnico – Complemento Consulta de Logs  ·  Página </w:t>
    </w:r>
    <w:r>
      <w:rPr>
        <w:rFonts w:ascii="Century Gothic" w:cs="Century Gothic" w:eastAsia="Century Gothic" w:hAnsi="Century Gothic"/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entury Gothic" w:cs="Century Gothic" w:eastAsia="Century Gothic" w:hAnsi="Century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Century Gothic" w:cs="Century Gothic" w:eastAsia="Century Gothic" w:hAnsi="Century Gothic"/>
      <w:color w:val="215E9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entury Gothic" w:cs="Century Gothic" w:eastAsia="Century Gothic" w:hAnsi="Century Gothic"/>
      <w:b/>
      <w:bCs/>
      <w:color w:val="0F4761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entury Gothic" w:cs="Century Gothic" w:eastAsia="Century Gothic" w:hAnsi="Century Gothic"/>
      <w:b/>
      <w:bCs/>
      <w:color w:val="215E99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Técnico – Complemento Consulta de Logs</dc:title>
  <dc:creator>Aldebaran Web</dc:creator>
  <cp:lastModifiedBy>Un-named</cp:lastModifiedBy>
  <cp:revision>1</cp:revision>
  <dcterms:created xsi:type="dcterms:W3CDTF">2026-10-24T19:19:26.744Z</dcterms:created>
  <dcterms:modified xsi:type="dcterms:W3CDTF">2026-10-24T19:19:26.744Z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