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7F7F7F"/>
          <w:sz w:val="36"/>
          <w:szCs w:val="36"/>
        </w:rPr>
        <w:t xml:space="preserve">MANUAL DE USUARIO</w:t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000000"/>
          <w:sz w:val="44"/>
          <w:szCs w:val="44"/>
        </w:rPr>
        <w:t xml:space="preserve">NUEVAS FUNCIONALIDADES</w:t>
      </w:r>
    </w:p>
    <w:p>
      <w:pPr>
        <w:spacing w:after="1200"/>
        <w:jc w:val="right"/>
      </w:pPr>
      <w:r>
        <w:rPr>
          <w:rFonts w:ascii="Century Gothic" w:cs="Century Gothic" w:eastAsia="Century Gothic" w:hAnsi="Century Gothic"/>
          <w:color w:val="000000"/>
          <w:sz w:val="44"/>
          <w:szCs w:val="44"/>
        </w:rPr>
        <w:t xml:space="preserve">PARA ALDEBARAN WEB</w:t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000000"/>
          <w:sz w:val="30"/>
          <w:szCs w:val="30"/>
        </w:rPr>
        <w:t xml:space="preserve">Complemento Consulta de Logs, Marca $ BOMBA,</w:t>
      </w:r>
    </w:p>
    <w:p>
      <w:pPr>
        <w:spacing w:after="1600"/>
        <w:jc w:val="right"/>
      </w:pPr>
      <w:r>
        <w:rPr>
          <w:rFonts w:ascii="Century Gothic" w:cs="Century Gothic" w:eastAsia="Century Gothic" w:hAnsi="Century Gothic"/>
          <w:color w:val="000000"/>
          <w:sz w:val="30"/>
          <w:szCs w:val="30"/>
        </w:rPr>
        <w:t xml:space="preserve">Pedido Especial y Generador de Consecutivos</w:t>
      </w:r>
    </w:p>
    <w:p>
      <w:pPr>
        <w:spacing w:after="0"/>
        <w:jc w:val="center"/>
      </w:pPr>
      <w:r>
        <w:rPr>
          <w:rFonts w:ascii="Century Gothic" w:cs="Century Gothic" w:eastAsia="Century Gothic" w:hAnsi="Century Gothic"/>
          <w:color w:val="7F7F7F"/>
          <w:sz w:val="32"/>
          <w:szCs w:val="32"/>
        </w:rPr>
        <w:t xml:space="preserve">Para</w:t>
      </w:r>
    </w:p>
    <w:p>
      <w:pPr>
        <w:spacing w:after="2000"/>
        <w:jc w:val="center"/>
      </w:pPr>
      <w:r>
        <w:rPr>
          <w:rFonts w:ascii="Century Gothic" w:cs="Century Gothic" w:eastAsia="Century Gothic" w:hAnsi="Century Gothic"/>
          <w:color w:val="000000"/>
          <w:sz w:val="40"/>
          <w:szCs w:val="40"/>
        </w:rPr>
        <w:t xml:space="preserve">PROMOS</w:t>
      </w:r>
    </w:p>
    <w:p>
      <w:pPr>
        <w:spacing w:after="0"/>
        <w:jc w:val="center"/>
      </w:pPr>
      <w:r>
        <w:rPr>
          <w:rFonts w:ascii="Century Gothic" w:cs="Century Gothic" w:eastAsia="Century Gothic" w:hAnsi="Century Gothic"/>
          <w:color w:val="000000"/>
          <w:sz w:val="20"/>
          <w:szCs w:val="20"/>
        </w:rPr>
        <w:t xml:space="preserve">Bogotá, octubre de 2026</w:t>
      </w:r>
    </w:p>
    <w:p>
      <w:r>
        <w:br w:type="page"/>
      </w:r>
    </w:p>
    <w:p>
      <w:pPr>
        <w:spacing w:after="12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INTRODUCCIÓN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Este manual explica cómo usar las funcionalidades que se incorporan a Aldebarán Web 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una sola entrega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que reúne cuatro requerimientos: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860"/>
        <w:gridCol w:w="2200"/>
      </w:tblGrid>
      <w:tr>
        <w:trPr>
          <w:tblHeader/>
        </w:trPr>
        <w:tc>
          <w:tcPr>
            <w:tcW w:type="dxa" w:w="23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Requerimiento</w:t>
            </w:r>
          </w:p>
        </w:tc>
        <w:tc>
          <w:tcPr>
            <w:tcW w:type="dxa" w:w="4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Qué incorpora</w:t>
            </w:r>
          </w:p>
        </w:tc>
        <w:tc>
          <w:tcPr>
            <w:tcW w:type="dxa" w:w="2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Dónde se usa</w:t>
            </w:r>
          </w:p>
        </w:tc>
      </w:tr>
      <w:tr>
        <w:tc>
          <w:tcPr>
            <w:tcW w:type="dxa" w:w="23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1. Consulta de logs</w:t>
            </w:r>
          </w:p>
        </w:tc>
        <w:tc>
          <w:tcPr>
            <w:tcW w:type="dxa" w:w="4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Visualización de alarmas por empleado, inactivaciones y refrescos de alarmas de inventario, logs de despachos, traslados a proceso y órdenes de compra, Log general (incluido el Autómata de Existencias) y Track de cambios.</w:t>
            </w:r>
          </w:p>
        </w:tc>
        <w:tc>
          <w:tcPr>
            <w:tcW w:type="dxa" w:w="2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Menú Consulta de Log</w:t>
            </w:r>
          </w:p>
        </w:tc>
      </w:tr>
      <w:tr>
        <w:tc>
          <w:tcPr>
            <w:tcW w:type="dxa" w:w="23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2. Marca $ BOMBA</w:t>
            </w:r>
          </w:p>
        </w:tc>
        <w:tc>
          <w:tcPr>
            <w:tcW w:type="dxa" w:w="4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Marca Precio bomba en artículos, etiqueta $ BOMBA en la alarma y en el Excel de cantidades mínimas, y filtros en reportes.</w:t>
            </w:r>
          </w:p>
        </w:tc>
        <w:tc>
          <w:tcPr>
            <w:tcW w:type="dxa" w:w="2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Artículos, Tablero, Reportes</w:t>
            </w:r>
          </w:p>
        </w:tc>
      </w:tr>
      <w:tr>
        <w:tc>
          <w:tcPr>
            <w:tcW w:type="dxa" w:w="23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3. Pedido especial</w:t>
            </w:r>
          </w:p>
        </w:tc>
        <w:tc>
          <w:tcPr>
            <w:tcW w:type="dxa" w:w="4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Marca Sí/No obligatoria en los pedidos y su uso en lista, detalle, resumen, reportes, exportaciones, logs, tablero, despachos y traslados.</w:t>
            </w:r>
          </w:p>
        </w:tc>
        <w:tc>
          <w:tcPr>
            <w:tcW w:type="dxa" w:w="2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Pedidos, Reservas, Reportes, Logs, Tablero</w:t>
            </w:r>
          </w:p>
        </w:tc>
      </w:tr>
      <w:tr>
        <w:tc>
          <w:tcPr>
            <w:tcW w:type="dxa" w:w="23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4. Generador de consecutivos</w:t>
            </w:r>
          </w:p>
        </w:tc>
        <w:tc>
          <w:tcPr>
            <w:tcW w:type="dxa" w:w="4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Sugerencias de referencia interna CÓDIGO-NNN para artículos nuevos.</w:t>
            </w:r>
          </w:p>
        </w:tc>
        <w:tc>
          <w:tcPr>
            <w:tcW w:type="dxa" w:w="2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Administración › Consecutivos de referencia</w:t>
            </w:r>
          </w:p>
        </w:tc>
      </w:tr>
    </w:tbl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Roles requeridos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Da acceso a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 ordenes de compra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Log de órdenes: modificación, cancelación, solicitudes de ajustes, tolerancias de ajustes y visualización de alarmas de órdenes.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 pedidos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Log de pedidos: modificación, cancelación, cierre, despachos, traslados a proceso y visualización de alarmas de pedidos.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 reservas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Log de reservas: modificación, cancelación y visualización de alarmas de reservas.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 inventarios (nuevo)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Visualización de alarmas de inventario e inactivaciones y refrescos de alarmas.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del sistema (nuevo)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Log general y Track.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Modificación de artículos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Marca Precio bomba al editar artículos y Generador de consecutivos (también con Administrador).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Roles de pedidos y reportes existentes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Captura de Pedido especial y filtros nuevos en las pantallas que ya usan.</w:t>
            </w:r>
          </w:p>
        </w:tc>
      </w:tr>
    </w:tbl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Quien no tiene el rol no ve la opción en el menú; si abre la dirección directamente, el sistema muestra «No autorizado».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Filtros Sí / No / Todos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Las condiciones que pueden ser verdaderas o falsas (por ejemplo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 especial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Precio bomba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Artículo activo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) se filtran con una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casilla de tres estados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Cada clic cambia el estado: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La casilla muestra</w:t>
            </w:r>
          </w:p>
        </w:tc>
        <w:tc>
          <w:tcPr>
            <w:tcW w:type="dxa" w:w="1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Significa</w:t>
            </w:r>
          </w:p>
        </w:tc>
        <w:tc>
          <w:tcPr>
            <w:tcW w:type="dxa" w:w="5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2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Raya ( – )</w:t>
            </w:r>
          </w:p>
        </w:tc>
        <w:tc>
          <w:tcPr>
            <w:tcW w:type="dxa" w:w="1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Todos</w:t>
            </w:r>
          </w:p>
        </w:tc>
        <w:tc>
          <w:tcPr>
            <w:tcW w:type="dxa" w:w="5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 filtra por esa condición. Es el valor inicial.</w:t>
            </w:r>
          </w:p>
        </w:tc>
      </w:tr>
      <w:tr>
        <w:tc>
          <w:tcPr>
            <w:tcW w:type="dxa" w:w="2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Chulo ( ✓ )</w:t>
            </w:r>
          </w:p>
        </w:tc>
        <w:tc>
          <w:tcPr>
            <w:tcW w:type="dxa" w:w="1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5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Solo trae los registros que cumplen la condición.</w:t>
            </w:r>
          </w:p>
        </w:tc>
      </w:tr>
      <w:tr>
        <w:tc>
          <w:tcPr>
            <w:tcW w:type="dxa" w:w="2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Vacía</w:t>
            </w:r>
          </w:p>
        </w:tc>
        <w:tc>
          <w:tcPr>
            <w:tcW w:type="dxa" w:w="1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5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Solo trae los registros que NO cumplen la condición.</w:t>
            </w:r>
          </w:p>
        </w:tc>
      </w:tr>
    </w:tbl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Cuando una condición queda en Sí o No, el resumen de filtros del reporte la muestra (por ejemplo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 especial: Sí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), también al imprimir o guardar en PDF.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1. CONSULTA DE LOGS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Todas las consultas están en el menú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Consulta de Log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Comparten la misma forma de trabajo: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rango de fechas es obligatorio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; no tiene límite máximo.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La búsqueda por texto se aplica al escribir o al presionar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Enter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según la pantalla.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Los resultados se muestran por páginas; el total aparece al pie de la grilla.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 número de pedido u orden es un enlace que abre su detalle.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Visualización de alarmas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Muestra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qué empleados vieron cada alarma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cuándo. Hay una opción por contexto: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ordenes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pedidos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reservas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inventarios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›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Visualización de alarmas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Solo se listan las alarmas activas que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al menos un empleado visualizó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Seleccione el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tipo de alarma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(solo aparecen los que su rol permite).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Indique el rango de fechas en que la alarma apareció en el tablero.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Opcional: elija un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Empleado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para ver solo las alarmas que él visualizó, o escriba un texto en el buscador.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Expanda una alarma (flecha a la izquierda) para ver los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empleados que la visualizaron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su área y la fecha.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425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6"/>
          <w:szCs w:val="16"/>
        </w:rPr>
        <w:t xml:space="preserve">Visualización de alarmas de inventario: alarma expandida con los empleados que la visualizaron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425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6"/>
          <w:szCs w:val="16"/>
        </w:rPr>
        <w:t xml:space="preserve">Filtro Empleado: alarmas que visualizó Eseban Ramirez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La columna Visualizaciones indica cuántos empleados la vieron. Si una alarma se refresca (la condición se repite), sus visualizaciones se reinician.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Inactivaciones y refrescos de alarmas de inventario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inventarios › Inactivaciones y refrescos de alarmas.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Registra cada vez que una alarma de cantidades mínimas, de Bodega Local o sin existencias se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refresca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(vuelve a mostrarse porque la condición se repitió) o se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inactiva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Filtros: tipo de alarma, tipo de evento (refresco / inactivación), fechas y texto.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Cada fila muestra el estado anterior y el nuevo (cantidades, mínimo y fecha) y el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origen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: la pantalla o el proceso que lo causó, incluido el proceso programado de depuración.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425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6"/>
          <w:szCs w:val="16"/>
        </w:rPr>
        <w:t xml:space="preserve">Inactivaciones y refrescos de alarmas de inventario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Logs de pedidos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pedidos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ofrece modificación, cancelación y cierre de pedidos, y modificación y cancelación de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despachos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de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traslados a proceso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Cada fila muestra cliente, pedido, la columna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 especial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documento, fechas, motivo y quién lo hizo. El número de pedido abre su detalle.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425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6"/>
          <w:szCs w:val="16"/>
        </w:rPr>
        <w:t xml:space="preserve">Log de modificación de despachos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449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6"/>
          <w:szCs w:val="16"/>
        </w:rPr>
        <w:t xml:space="preserve">Log de cierre de pedidos con la columna Pedido especial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Logs de órdenes de compra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Solicitudes de ajustes: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una fila por solicitud de aprobación con su resolución (En aprobación, Aprobada o Devuelta), quién y cuándo resolvió y el motivo.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Tolerancias de ajustes: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cada cambio de rango de tolerancia con el valor anterior y el nuevo.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425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6"/>
          <w:szCs w:val="16"/>
        </w:rPr>
        <w:t xml:space="preserve">Log de solicitudes de ajustes de órdenes de compra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425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6"/>
          <w:szCs w:val="16"/>
        </w:rPr>
        <w:t xml:space="preserve">Log de tolerancias de ajustes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Log general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del sistema › Log general.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Concentra los mensajes técnicos de la aplicación y del Autómata de Existencias,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agrupados por mensaje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para identificar rápidamente los problemas repetidos.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Indique el rango de fechas (obligatorio).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Opcional: nivel (Información, Advertencia, Error…), origen y texto.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Cada grupo muestra cuántas veces ocurrió y su primera y última fecha.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Haga clic en el mensaje para ver sus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ocurrencias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y en cada una abra el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detalle técnico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(mensaje completo, excepción y propiedades).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425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6"/>
          <w:szCs w:val="16"/>
        </w:rPr>
        <w:t xml:space="preserve">Log general agrupado por mensaje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6"/>
          <w:szCs w:val="16"/>
        </w:rPr>
        <w:t xml:space="preserve">Ocurrencias de un mensaje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6"/>
          <w:szCs w:val="16"/>
        </w:rPr>
        <w:t xml:space="preserve">Detalle técnico de una ocurrencia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Autómata de Existencias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escribe en este log con el origen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AutomataExistencias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: filtre por ese origen para ver sus mensajes.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425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6"/>
          <w:szCs w:val="16"/>
        </w:rPr>
        <w:t xml:space="preserve">Mensajes del Autómata de Existencias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Los números variables (cantidades, códigos) se muestran como # para agrupar mensajes iguales; el detalle de cada ocurrencia tiene el texto completo.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Track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del sistema › Track.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Muestra cada cambio hecho desde la aplicación: qué registro, qué acción, quién y cuándo, con el valor anterior y el nuevo de cada campo.</w:t>
      </w:r>
    </w:p>
    <w:p>
      <w:pPr>
        <w:pStyle w:val="Heading3"/>
        <w:spacing w:after="80" w:before="160"/>
      </w:pPr>
      <w:r>
        <w:rPr>
          <w:rFonts w:ascii="Century Gothic" w:cs="Century Gothic" w:eastAsia="Century Gothic" w:hAnsi="Century Gothic"/>
          <w:b/>
          <w:bCs/>
          <w:color w:val="215E99"/>
          <w:sz w:val="21"/>
          <w:szCs w:val="21"/>
        </w:rPr>
        <w:t xml:space="preserve">Buscar por lo que conoce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Buscar por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elija el tipo de objeto (artículo, referencia, pedido, orden de compra, reserva, cliente, etc.), escriba el número o nombre y presione Enter.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Elija el objeto encontrado. El Track muestra los movimientos de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todas las entidades relacionadas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(por ejemplo, el pedido, sus detalles y sus modificaciones). Si no busca por objeto, la entidad es obligatoria.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Filtre por fechas, acción o usuario.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Haga clic en un movimiento para ver su detalle.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425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6"/>
          <w:szCs w:val="16"/>
        </w:rPr>
        <w:t xml:space="preserve">Track del pedido 0000039471: movimientos de todas sus entidades</w:t>
      </w:r>
    </w:p>
    <w:p>
      <w:pPr>
        <w:pStyle w:val="Heading3"/>
        <w:spacing w:after="80" w:before="160"/>
      </w:pPr>
      <w:r>
        <w:rPr>
          <w:rFonts w:ascii="Century Gothic" w:cs="Century Gothic" w:eastAsia="Century Gothic" w:hAnsi="Century Gothic"/>
          <w:b/>
          <w:bCs/>
          <w:color w:val="215E99"/>
          <w:sz w:val="21"/>
          <w:szCs w:val="21"/>
        </w:rPr>
        <w:t xml:space="preserve">Detalle de un movimiento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Por defecto muestra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solo los campos que cambiaron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; desactive la opción para ver todos.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Los campos aparecen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en español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los Ids con su descripción (por ejemplo «Cliente 1528 · DIAZ CARDENAS…»). Los valores Sí/No se muestran como Sí o 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Ver campos técnicos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muestra las llaves internas que por defecto están ocultas.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6"/>
          <w:szCs w:val="16"/>
        </w:rPr>
        <w:t xml:space="preserve">Detalle de un movimiento con todos los campos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Las contraseñas nunca se muestran: aparecen como ******</w:t>
      </w:r>
      <w:r>
        <w:rPr>
          <w:rFonts w:ascii="Century Gothic" w:cs="Century Gothic" w:eastAsia="Century Gothic" w:hAnsi="Century Gothic"/>
          <w:b/>
          <w:bCs/>
          <w:i/>
          <w:iCs/>
          <w:color w:val="7F7F7F"/>
          <w:sz w:val="18"/>
          <w:szCs w:val="18"/>
        </w:rPr>
        <w:t xml:space="preserve"> y, si cambiaron, </w:t>
      </w:r>
      <w:r>
        <w:rPr>
          <w:rFonts w:ascii="Century Gothic" w:cs="Century Gothic" w:eastAsia="Century Gothic" w:hAnsi="Century Gothic"/>
          <w:b/>
          <w:bCs/>
          <w:i/>
          <w:iCs/>
          <w:color w:val="7F7F7F"/>
          <w:sz w:val="18"/>
          <w:szCs w:val="18"/>
        </w:rPr>
        <w:t xml:space="preserve">**** (modificada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2. MARCA $ BOMBA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Marcar un artículo con Precio bomba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Abra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Administración › Artículos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busque el artículo y edítelo.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Marque la casilla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Precio bomba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El nombre queda con el sufijo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" - $ BOMBA"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Guarde. El cambio queda en el Track.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6"/>
          <w:szCs w:val="16"/>
        </w:rPr>
        <w:t xml:space="preserve">Edición de artículo con Precio bomba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Oferta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(marca que ya existía)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Precio bomba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son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excluyentes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: al marcar una se desmarca la otra y cambia el sufijo (" - Oferta" o " - $ BOMBA").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 nombre con el sufijo no puede superar 50 caracteres; si los supera, la pantalla indica cuántos caracteres debe tener como máximo.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 diferencia de Oferta, un artículo con Precio bomba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sí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genera alarmas y aplica preorden como un artículo normal.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Etiqueta $ BOMBA en la alarma de cantidades mínimas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En el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Tablero de notificaciones › Sobrepaso de cantidades mínimas por referencia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el nombre de los artículos marcados incluye "$ BOMBA". Al abrir el inventario de la alarma (botón de imagen) aparece la etiqueta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$ BOMBA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sobre la imagen, o en el espacio de la imagen si el artículo no tiene foto.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425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6"/>
          <w:szCs w:val="16"/>
        </w:rPr>
        <w:t xml:space="preserve">Alarmas de cantidades mínimas de un artículo con Precio bomba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6"/>
          <w:szCs w:val="16"/>
        </w:rPr>
        <w:t xml:space="preserve">Inventario del artículo desde la alarma con la etiqueta $ BOMBA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La misma etiqueta sale sobre la imagen en el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Excel del correo periódico de cantidades mínimas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Precio bomba en reportes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Reporte</w:t>
            </w:r>
          </w:p>
        </w:tc>
        <w:tc>
          <w:tcPr>
            <w:tcW w:type="dxa" w:w="6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Qué cambia</w:t>
            </w:r>
          </w:p>
        </w:tc>
      </w:tr>
      <w:t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Artículos y referencias</w:t>
            </w:r>
          </w:p>
        </w:tc>
        <w:tc>
          <w:tcPr>
            <w:tcW w:type="dxa" w:w="6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 Precio bomba y 10 condiciones Sí/No/Todos (Activo, Visible en página, Producto nacional, Importación especial, En promoción, Precio bomba, Referencia activa, Agotada, Con cantidad mínima general y en Bodega Local).</w:t>
            </w:r>
          </w:p>
        </w:tc>
      </w:tr>
      <w:t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Stock mínimo de bodega</w:t>
            </w:r>
          </w:p>
        </w:tc>
        <w:tc>
          <w:tcPr>
            <w:tcW w:type="dxa" w:w="6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Condición Precio bomba Sí/No/Todos.</w:t>
            </w:r>
          </w:p>
        </w:tc>
      </w:tr>
      <w:t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Movimiento de referencia</w:t>
            </w:r>
          </w:p>
        </w:tc>
        <w:tc>
          <w:tcPr>
            <w:tcW w:type="dxa" w:w="6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Condiciones Artículo activo y Referencia activa (inician en Sí) y Precio bomba (inicia en Todos). Abierto desde una alarma, la referencia queda fija y las condiciones no aplican.</w:t>
            </w:r>
          </w:p>
        </w:tc>
      </w:tr>
    </w:tbl>
    <w:p>
      <w:pPr>
        <w:spacing w:after="40" w:before="8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6"/>
          <w:szCs w:val="16"/>
        </w:rPr>
        <w:t xml:space="preserve">Filtro del reporte de Artículos y referencias con Precio bomba = Sí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425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6"/>
          <w:szCs w:val="16"/>
        </w:rPr>
        <w:t xml:space="preserve">Reporte con solo los artículos $ BOMBA y la condición en el resumen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6"/>
          <w:szCs w:val="16"/>
        </w:rPr>
        <w:t xml:space="preserve">Valores iniciales del filtro de Movimiento de referencia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3. PEDIDO ESPECIAL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Marca que identifica los pedidos especiales. Los pedidos creados antes de esta versión quedan como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Crear un pedido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 de artículos › Nuevo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diligencie el pedido como siempre.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 especial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elija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Sí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El campo es obligatorio y no trae valor por defecto: si no lo elige, al guardar aparece «Debe indicar si es un pedido especial».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Al guardar, confirme la selección: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Sí, crear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graba el pedido;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No, modificar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vuelve al formulario sin perder lo digitado.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449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6"/>
          <w:szCs w:val="16"/>
        </w:rPr>
        <w:t xml:space="preserve">Pedido especial es obligatorio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6"/>
          <w:szCs w:val="16"/>
        </w:rPr>
        <w:t xml:space="preserve">Confirmación al crear un pedido especial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Crear un pedido desde una reserva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Reserva de artículos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al convertir la reserva en pedido (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Generar Pedido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) se abre el formulario del pedido con los datos de la reserva. El campo Pedido especial se diligencia y confirma igual que al crear un pedido. Con la tecla Tab el orden es: fecha pactada → Pedido especial → notas.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6"/>
          <w:szCs w:val="16"/>
        </w:rPr>
        <w:t xml:space="preserve">Pedido a partir de una reserva: confirmación de Pedido especial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Modificar la marca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Editar pedido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puede cambiar Pedido especial. Si lo cambia, al guardar se pide confirmar (por ejemplo «Pedido especial cambia de SÍ a NO») antes del motivo de modificación; si no lo cambia, no se pide esa confirmación. El cambio queda en el Track y en el log de modificaciones.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6"/>
          <w:szCs w:val="16"/>
        </w:rPr>
        <w:t xml:space="preserve">Confirmación al cambiar Pedido especial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Dónde se 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Pantalla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Cómo aparece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Lista de pedidos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 Pedido especial y casilla de tres estados para filtrar junto con el buscador.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Detalle del pedido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Pedido especial: Sí/No.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Resumen del pedido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Se ve al imprimir y al guardar PDF (uso interno). El PDF que se envía por correo al cliente NO incluye Pedido especial ni Observaciones internas.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Reportes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Pedidos, Back order, Actividades, Ventas, Asignación automática y Pendientes de traslado automático: filtro Sí/No/Todos, dato por pedido y condición en el resumen.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Exportaciones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Excel y CSV de Pedidos y Back order con la columna Pedido especial y los mismos filtros del reporte.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Logs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Modificación, cancelación y cierre de pedidos; despachos y traslados a proceso.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Tablero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Pedidos vencidos, pedidos con asignación automática de OC confirmadas y modificaciones de traslados automáticos.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Despachos y traslados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 en la lista de pedidos y dato en las pantallas de crear y modificar.</w:t>
            </w:r>
          </w:p>
        </w:tc>
      </w:tr>
    </w:tbl>
    <w:p>
      <w:pPr>
        <w:spacing w:after="40" w:before="80"/>
        <w:jc w:val="center"/>
      </w:pPr>
      <w:r>
        <w:drawing>
          <wp:inline distT="0" distB="0" distL="0" distR="0">
            <wp:extent cx="5715000" cy="425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6"/>
          <w:szCs w:val="16"/>
        </w:rPr>
        <w:t xml:space="preserve">Lista de pedidos con la columna y el filtro Pedido especial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425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6"/>
          <w:szCs w:val="16"/>
        </w:rPr>
        <w:t xml:space="preserve">Detalle del pedido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6"/>
          <w:szCs w:val="16"/>
        </w:rPr>
        <w:t xml:space="preserve">Resumen del pedido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6"/>
          <w:szCs w:val="16"/>
        </w:rPr>
        <w:t xml:space="preserve">Filtro del reporte de pedidos con Pedido especial = Sí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425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6"/>
          <w:szCs w:val="16"/>
        </w:rPr>
        <w:t xml:space="preserve">Reporte de pedidos: condición en el resumen y dato por pedido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425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6"/>
          <w:szCs w:val="16"/>
        </w:rPr>
        <w:t xml:space="preserve">Tablero: pedidos vencidos con la columna Pedido especial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425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6"/>
          <w:szCs w:val="16"/>
        </w:rPr>
        <w:t xml:space="preserve">Despacho de artículos procesados con la columna Pedido especial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Las exportaciones requieren sesión iniciada en la aplicación.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4. GENERADOR DE CONSECUTIVOS DE REFERENCIA INTERNA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Administración › Consecutivos de referencia.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Ayuda a escoger la referencia interna de artículos nuevos: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sugiere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números libres con el formato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CÓDIGO-NNN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(por ejemplo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MU-026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VA-1227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) a partir de las referencias que ya existen en los artículos.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6"/>
          <w:szCs w:val="16"/>
        </w:rPr>
        <w:t xml:space="preserve">Pantalla Consecutivos de referencia interna con el aviso de sugerencias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Los consecutivos son sugerencias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Esta opción es una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ayuda de consulta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Antes de usarla tenga en cuenta: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No reserva números.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Consultar o Generar no aparta el número para nadie. Dos personas pueden ver la misma sugerencia al mismo tiempo; la usa quien primero cree el artículo. Si al crear el artículo aparece «Ya existe un artículo con la misma referencia interna.», vuelva a Consultar y tome otra.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No está enlazada con la creación del artículo.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Al crear el artículo, la referencia interna se escribe a mano, como siempre. El sistema no verifica que sea una de las sugeridas ni que cumpla el formato.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La referencia válida es la del artículo.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La que rige es la que queda guardada en el artículo, no la sugerida. La herramienta solo lee las referencias de los artículos para calcular el siguiente número.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Si al crear el artículo se usa una referencia distinta a la sugerida o fuera del formato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por ejemplo con otro código, sin guion, con más de 4 dígitos o con un número salteado, el sistema lo acepta, porque la creación de artículos no cambia. En ese caso la herramienta: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puede seguir mostrando como disponible la sugerencia que no se usó;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no tiene en cuenta esa referencia para calcular el siguiente número, si no cumple el formato (aparece en la lista de referencias que no cuentan);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salta números, si se usó un número mayor que los sugeridos (los números intermedios no se vuelven a sugerir).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Estos efectos son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consecuencia de usar referencias fuera de lo sugerido o del formato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no un error de la herramienta. La responsabilidad sobre la referencia interna es de quien crea el artículo.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Formato de la referencia sugerida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900"/>
        <w:gridCol w:w="2960"/>
      </w:tblGrid>
      <w:tr>
        <w:trPr>
          <w:tblHeader/>
        </w:trPr>
        <w:tc>
          <w:tcPr>
            <w:tcW w:type="dxa" w:w="1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Parte</w:t>
            </w:r>
          </w:p>
        </w:tc>
        <w:tc>
          <w:tcPr>
            <w:tcW w:type="dxa" w:w="4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Regla</w:t>
            </w:r>
          </w:p>
        </w:tc>
        <w:tc>
          <w:tcPr>
            <w:tcW w:type="dxa" w:w="29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Ejemplos</w:t>
            </w:r>
          </w:p>
        </w:tc>
      </w:tr>
      <w:tr>
        <w:tc>
          <w:tcPr>
            <w:tcW w:type="dxa" w:w="1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Código</w:t>
            </w:r>
          </w:p>
        </w:tc>
        <w:tc>
          <w:tcPr>
            <w:tcW w:type="dxa" w:w="4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De 1 a 5 caracteres. Letras (incluida la Ñ), números y un espacio entre palabras. Sin guion, tildes ni otros signos. Se guarda en mayúsculas.</w:t>
            </w:r>
          </w:p>
        </w:tc>
        <w:tc>
          <w:tcPr>
            <w:tcW w:type="dxa" w:w="29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MU, VA, B10, PM VA</w:t>
            </w:r>
          </w:p>
        </w:tc>
      </w:tr>
      <w:tr>
        <w:tc>
          <w:tcPr>
            <w:tcW w:type="dxa" w:w="1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Guion</w:t>
            </w:r>
          </w:p>
        </w:tc>
        <w:tc>
          <w:tcPr>
            <w:tcW w:type="dxa" w:w="4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Siempre un guion entre el código y el número.</w:t>
            </w:r>
          </w:p>
        </w:tc>
        <w:tc>
          <w:tcPr>
            <w:tcW w:type="dxa" w:w="29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MU-…</w:t>
            </w:r>
          </w:p>
        </w:tc>
      </w:tr>
      <w:tr>
        <w:tc>
          <w:tcPr>
            <w:tcW w:type="dxa" w:w="1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Número</w:t>
            </w:r>
          </w:p>
        </w:tc>
        <w:tc>
          <w:tcPr>
            <w:tcW w:type="dxa" w:w="4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Mínimo 3 dígitos con ceros a la izquierda; desde 1000 usa 4 dígitos. Máximo 9999.</w:t>
            </w:r>
          </w:p>
        </w:tc>
        <w:tc>
          <w:tcPr>
            <w:tcW w:type="dxa" w:w="29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MU-005, MU-026, VA-999, VA-1227</w:t>
            </w:r>
          </w:p>
        </w:tc>
      </w:tr>
    </w:tbl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La referencia interna del artículo admite máximo 10 caracteres: código de 5 + guion + 4 dígitos = 10 (por ejemplo PM VA-9999). Por eso el código no puede tener más de 5 caracteres.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Cómo reconoce los números ya usados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Para cada código, la herramienta revisa las referencias internas de los artículos que empiezan por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el código y un guion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Después del guion toma el número (de 1 a 4 dígitos); lo que siga al número se considera un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complemento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no afecta. No importan mayúsculas o minúsculas.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560"/>
        <w:gridCol w:w="2800"/>
      </w:tblGrid>
      <w:tr>
        <w:trPr>
          <w:tblHeader/>
        </w:trP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Referencia del artículo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¿Cuenta para el código?</w:t>
            </w:r>
          </w:p>
        </w:tc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Número que usa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VA-1226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Sí (VA)</w:t>
            </w:r>
          </w:p>
        </w:tc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1226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MU-026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Sí (MU)</w:t>
            </w:r>
          </w:p>
        </w:tc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MU-26 y MU-5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Sí (MU)</w:t>
            </w:r>
          </w:p>
        </w:tc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26 y 5 (equivalen a MU-026 y MU-005)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VA-1015-1, MU-026-ROJO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Sí: complemento con guion</w:t>
            </w:r>
          </w:p>
        </w:tc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1015, 26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CP-59T, VA-984SURA, MU-25M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Sí: complemento pegado al número</w:t>
            </w:r>
          </w:p>
        </w:tc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59, 984, 25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MU-1 ROJO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Sí: complemento con espacio</w:t>
            </w:r>
          </w:p>
        </w:tc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MU-0251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Sí: 4 dígitos con cero a la izquierda</w:t>
            </w:r>
          </w:p>
        </w:tc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251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PM VA-825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Sí, para el código PM VA (no para VA ni para PM)</w:t>
            </w:r>
          </w:p>
        </w:tc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825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MUX-99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No: es del código MUX, no de MU</w:t>
            </w:r>
          </w:p>
        </w:tc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MU26, MU 26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No: sin guion después del código</w:t>
            </w:r>
          </w:p>
        </w:tc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TH-XXXL, CP-LIBRESE, MU--5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No: después del guion no hay un número</w:t>
            </w:r>
          </w:p>
        </w:tc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Se lista como «no cuenta»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MU-12345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No: más de 4 dígitos</w:t>
            </w:r>
          </w:p>
        </w:tc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Se lista como «no cuenta»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SEN -360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No, para SEN: hay un espacio antes del guion</w:t>
            </w:r>
          </w:p>
        </w:tc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Consultar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Escriba el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código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Pulse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Consultar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La grilla muestra las sugerencias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disponibles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del código. Antes de mostrarlas, el sistema retira las que ya se usaron como referencia de un artículo. Si no hay sugerencias, lo informa (por ejemplo: «No hay consecutivos disponibles para el código CP»).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Si el código tiene referencias que empiezan por el código y el guion pero no tienen un número válido, aparecen en una segunda lista,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Referencias del código que no se toman como consecutivo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con el motivo. Esas referencias no cuentan para calcular el siguiente número.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6"/>
          <w:szCs w:val="16"/>
        </w:rPr>
        <w:t xml:space="preserve">Código TH: referencias que no cuentan, con su motivo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Generar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Escriba el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código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la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cantidad requerida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(de 1 a 1000).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Pulse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Generar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confirme con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Sí, generar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(con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no se genera nada).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 sistema completa hasta tener esa cantidad de sugerencias disponibles: solo crea las que faltan, a continuación del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mayor número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entre las sugerencias disponibles y las referencias usadas en artículos. Si el código no tiene referencias, empieza en 001.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La grilla muestra todas las disponibles; la columna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Generado ahora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indica las nuevas. Si ya había suficientes, no genera ninguna y lo informa.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Ejemplos con los datos actuales: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VA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: el mayor usado es VA-1226. Al pedir 3 se sugieren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VA-1227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VA-1228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VA-1229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PM VA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: el mayor usado es PM VA-825. Al pedir 2 se sugieren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PM VA-826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PM VA-827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Código nuevo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: al pedir 3 se sugieren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001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002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003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Si luego se pide 2, no se genera nada porque ya hay 3 disponibles.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6"/>
          <w:szCs w:val="16"/>
        </w:rPr>
        <w:t xml:space="preserve">Generación para VA: continúa en 4 dígitos después de VA-1226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La herramienta no rellena huecos: si existen MU-001 y MU-050, la siguiente sugerencia es MU-051, aunque del 002 al 049 no se hayan usado.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Límites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Límite</w:t>
            </w:r>
          </w:p>
        </w:tc>
        <w:tc>
          <w:tcPr>
            <w:tcW w:type="dxa" w:w="7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2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Código</w:t>
            </w:r>
          </w:p>
        </w:tc>
        <w:tc>
          <w:tcPr>
            <w:tcW w:type="dxa" w:w="7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Máximo 5 caracteres. Los códigos existentes más largos (por ejemplo TAPA MU o ADVA 2) no se pueden usar en esta opción.</w:t>
            </w:r>
          </w:p>
        </w:tc>
      </w:tr>
      <w:tr>
        <w:tc>
          <w:tcPr>
            <w:tcW w:type="dxa" w:w="2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Número máximo</w:t>
            </w:r>
          </w:p>
        </w:tc>
        <w:tc>
          <w:tcPr>
            <w:tcW w:type="dxa" w:w="7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9999 por código. Si no caben los pedidos, el sistema indica cuántos se pueden generar.</w:t>
            </w:r>
          </w:p>
        </w:tc>
      </w:tr>
      <w:tr>
        <w:tc>
          <w:tcPr>
            <w:tcW w:type="dxa" w:w="2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Cantidad por vez</w:t>
            </w:r>
          </w:p>
        </w:tc>
        <w:tc>
          <w:tcPr>
            <w:tcW w:type="dxa" w:w="7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De 1 a 1000.</w:t>
            </w:r>
          </w:p>
        </w:tc>
      </w:tr>
      <w:tr>
        <w:tc>
          <w:tcPr>
            <w:tcW w:type="dxa" w:w="2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Complemento</w:t>
            </w:r>
          </w:p>
        </w:tc>
        <w:tc>
          <w:tcPr>
            <w:tcW w:type="dxa" w:w="7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Las sugerencias no incluyen complemento. Si se agrega al crear el artículo, la referencia completa debe caber en 10 caracteres (con un código de 5 y un número de 4 ya no hay espacio).</w:t>
            </w:r>
          </w:p>
        </w:tc>
      </w:tr>
      <w:tr>
        <w:tc>
          <w:tcPr>
            <w:tcW w:type="dxa" w:w="2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Reserva</w:t>
            </w:r>
          </w:p>
        </w:tc>
        <w:tc>
          <w:tcPr>
            <w:tcW w:type="dxa" w:w="7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 hay reserva: la sugerencia queda libre hasta que se crea un artículo con esa referencia.</w:t>
            </w:r>
          </w:p>
        </w:tc>
      </w:tr>
      <w:tr>
        <w:tc>
          <w:tcPr>
            <w:tcW w:type="dxa" w:w="2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Huecos</w:t>
            </w:r>
          </w:p>
        </w:tc>
        <w:tc>
          <w:tcPr>
            <w:tcW w:type="dxa" w:w="7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 se rellenan números intermedios sin usar.</w:t>
            </w:r>
          </w:p>
        </w:tc>
      </w:tr>
    </w:tbl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Mensajes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tblHeader/>
        </w:trPr>
        <w:tc>
          <w:tcPr>
            <w:tcW w:type="dxa" w:w="4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Mensaje</w:t>
            </w:r>
          </w:p>
        </w:tc>
        <w:tc>
          <w:tcPr>
            <w:tcW w:type="dxa" w:w="49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Causa</w:t>
            </w:r>
          </w:p>
        </w:tc>
      </w:tr>
      <w:tr>
        <w:tc>
          <w:tcPr>
            <w:tcW w:type="dxa" w:w="4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El código es obligatorio.</w:t>
            </w:r>
          </w:p>
        </w:tc>
        <w:tc>
          <w:tcPr>
            <w:tcW w:type="dxa" w:w="49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Se pulsó Consultar o Generar sin escribir el código.</w:t>
            </w:r>
          </w:p>
        </w:tc>
      </w:tr>
      <w:tr>
        <w:tc>
          <w:tcPr>
            <w:tcW w:type="dxa" w:w="4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El código puede tener máximo 5 caracteres.</w:t>
            </w:r>
          </w:p>
        </w:tc>
        <w:tc>
          <w:tcPr>
            <w:tcW w:type="dxa" w:w="49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El código tiene más de 5 caracteres.</w:t>
            </w:r>
          </w:p>
        </w:tc>
      </w:tr>
      <w:tr>
        <w:tc>
          <w:tcPr>
            <w:tcW w:type="dxa" w:w="4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El código solo admite letras, números y un espacio entre palabras (sin guion ni otros signos).</w:t>
            </w:r>
          </w:p>
        </w:tc>
        <w:tc>
          <w:tcPr>
            <w:tcW w:type="dxa" w:w="49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El código tiene guion, tilde, punto, «_», «%», dos espacios seguidos, etc.</w:t>
            </w:r>
          </w:p>
        </w:tc>
      </w:tr>
      <w:tr>
        <w:tc>
          <w:tcPr>
            <w:tcW w:type="dxa" w:w="4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La cantidad debe estar entre 1 y 1000.</w:t>
            </w:r>
          </w:p>
        </w:tc>
        <w:tc>
          <w:tcPr>
            <w:tcW w:type="dxa" w:w="49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Cantidad requerida en 0, negativa o mayor que 1000.</w:t>
            </w:r>
          </w:p>
        </w:tc>
      </w:tr>
      <w:tr>
        <w:tc>
          <w:tcPr>
            <w:tcW w:type="dxa" w:w="4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El código XX llega como máximo a XX-9999: solo se pueden generar N consecutivo(s) más.</w:t>
            </w:r>
          </w:p>
        </w:tc>
        <w:tc>
          <w:tcPr>
            <w:tcW w:type="dxa" w:w="49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La cantidad pedida pasaría de 9999.</w:t>
            </w:r>
          </w:p>
        </w:tc>
      </w:tr>
    </w:tbl>
    <w:p>
      <w:pPr>
        <w:spacing w:after="40" w:before="80"/>
        <w:jc w:val="center"/>
      </w:pPr>
      <w:r>
        <w:drawing>
          <wp:inline distT="0" distB="0" distL="0" distR="0">
            <wp:extent cx="5715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6"/>
          <w:szCs w:val="16"/>
        </w:rPr>
        <w:t xml:space="preserve">Validación del código: el mensaje aparece debajo de los campos y se retira al corregir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Al corregir el código o la cantidad, el mensaje anterior se retira.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PREGUNTAS FRECUENTES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Situación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Qué hacer</w:t>
            </w:r>
          </w:p>
        </w:tc>
      </w:tr>
      <w:t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No veo una opción del menú Consulta de Log.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Solicite al administrador el rol correspondiente (ver Roles requeridos).</w:t>
            </w:r>
          </w:p>
        </w:tc>
      </w:tr>
      <w:t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Una consulta de log no trae datos.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Verifique el rango de fechas: es obligatorio y se aplica sobre la fecha del evento.</w:t>
            </w:r>
          </w:p>
        </w:tc>
      </w:tr>
      <w:t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Una alarma no aparece en Visualización de alarmas.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Solo se listan alarmas que al menos un empleado visualizó; revise también el filtro Empleado.</w:t>
            </w:r>
          </w:p>
        </w:tc>
      </w:tr>
      <w:t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El reporte no trae los pedidos que esperaba.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Revise las casillas de tres estados: en raya no filtran; en chulo o vacías sí.</w:t>
            </w:r>
          </w:p>
        </w:tc>
      </w:tr>
      <w:t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El cliente pregunta por el Pedido especial.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El dato es de uso interno: no se incluye en el correo al cliente.</w:t>
            </w:r>
          </w:p>
        </w:tc>
      </w:tr>
      <w:t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Al crear el artículo aparece «Ya existe un artículo con la misma referencia interna».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Otra persona usó la referencia sugerida (las sugerencias no se reservan). Vuelva a Consultar y tome otra.</w:t>
            </w:r>
          </w:p>
        </w:tc>
      </w:tr>
      <w:t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La sugerencia sigue disponible aunque ya creé el artículo.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Revise que la referencia del artículo tenga el código, un guion y el número (por ejemplo MU-026).</w:t>
            </w:r>
          </w:p>
        </w:tc>
      </w:tr>
      <w:t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El siguiente número saltó (por ejemplo de 005 a 051).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Existe un artículo con un número mayor; la herramienta continúa desde el mayor y no rellena huecos.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entury Gothic" w:cs="Century Gothic" w:eastAsia="Century Gothic" w:hAnsi="Century Gothic"/>
        <w:color w:val="7F7F7F"/>
        <w:sz w:val="16"/>
        <w:szCs w:val="16"/>
      </w:rPr>
      <w:t xml:space="preserve">Manual de Usuario – Consulta de Logs, $ BOMBA, Pedido Especial y Consecutivos  ·  Página </w:t>
    </w:r>
    <w:r>
      <w:rPr>
        <w:rFonts w:ascii="Century Gothic" w:cs="Century Gothic" w:eastAsia="Century Gothic" w:hAnsi="Century Gothic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9"/>
    <w:lvlOverride w:ilvl="0">
      <w:startOverride w:val="1"/>
    </w:lvlOverride>
  </w:num>
  <w:num w:numId="8">
    <w:abstractNumId w:val="10"/>
    <w:lvlOverride w:ilvl="0">
      <w:startOverride w:val="1"/>
    </w:lvlOverride>
  </w:num>
  <w:num w:numId="9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entury Gothic" w:cs="Century Gothic" w:eastAsia="Century Gothic" w:hAnsi="Century Gothic"/>
      <w:color w:val="215E9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entury Gothic" w:cs="Century Gothic" w:eastAsia="Century Gothic" w:hAnsi="Century Gothic"/>
      <w:b/>
      <w:bCs/>
      <w:color w:val="0F4761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entury Gothic" w:cs="Century Gothic" w:eastAsia="Century Gothic" w:hAnsi="Century Gothic"/>
      <w:b/>
      <w:bCs/>
      <w:color w:val="215E99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f7ba5717469c4c2d9ad6c7adf4fac202a9215584.png"/><Relationship Id="rId9" Type="http://schemas.openxmlformats.org/officeDocument/2006/relationships/image" Target="media/d7592798382d8072cf5cdeffde682da50c99a20d.png"/><Relationship Id="rId10" Type="http://schemas.openxmlformats.org/officeDocument/2006/relationships/image" Target="media/cf2e9fbdb6510529400c142e4adde954337106b6.png"/><Relationship Id="rId11" Type="http://schemas.openxmlformats.org/officeDocument/2006/relationships/image" Target="media/193c2909c41531dd02bcf4fcfd566608ce22bcba.png"/><Relationship Id="rId12" Type="http://schemas.openxmlformats.org/officeDocument/2006/relationships/image" Target="media/a0ce69aa38945118837d4eb6382b2fa0ed48436c.png"/><Relationship Id="rId13" Type="http://schemas.openxmlformats.org/officeDocument/2006/relationships/image" Target="media/6c2471d01d727352a6f70be292788331b11012bd.png"/><Relationship Id="rId14" Type="http://schemas.openxmlformats.org/officeDocument/2006/relationships/image" Target="media/a00c7fb265121a44e3646aefad9572d93ac62011.png"/><Relationship Id="rId15" Type="http://schemas.openxmlformats.org/officeDocument/2006/relationships/image" Target="media/f14cedd38532c4bcff2d0a12e20efa3551dc7b85.png"/><Relationship Id="rId16" Type="http://schemas.openxmlformats.org/officeDocument/2006/relationships/image" Target="media/b219817c1180c437537921751f5a48db3b73f40d.png"/><Relationship Id="rId17" Type="http://schemas.openxmlformats.org/officeDocument/2006/relationships/image" Target="media/b7451143c62379274df8bb5a348b89ffa967be6a.png"/><Relationship Id="rId18" Type="http://schemas.openxmlformats.org/officeDocument/2006/relationships/image" Target="media/2c436715d22847eafe8c9b5a2d0271f744ec4fce.png"/><Relationship Id="rId19" Type="http://schemas.openxmlformats.org/officeDocument/2006/relationships/image" Target="media/c4849e765a6f08cf6cb2f89398136c2132d8d0b7.png"/><Relationship Id="rId20" Type="http://schemas.openxmlformats.org/officeDocument/2006/relationships/image" Target="media/d68d002770a07e20f347466487eacd4c6049a2f4.png"/><Relationship Id="rId21" Type="http://schemas.openxmlformats.org/officeDocument/2006/relationships/image" Target="media/418220c2d6b02b77afd3b34b02ab6cffc13540b2.png"/><Relationship Id="rId22" Type="http://schemas.openxmlformats.org/officeDocument/2006/relationships/image" Target="media/c951c7a4899fb076e59ca71ce3ef6fddbdfcd116.png"/><Relationship Id="rId23" Type="http://schemas.openxmlformats.org/officeDocument/2006/relationships/image" Target="media/b0175e50f78ecda9378743ce400442f4c9d3ac26.png"/><Relationship Id="rId24" Type="http://schemas.openxmlformats.org/officeDocument/2006/relationships/image" Target="media/589bc277b58d56c78a1f6c78f46c1b0aad2510cd.png"/><Relationship Id="rId25" Type="http://schemas.openxmlformats.org/officeDocument/2006/relationships/image" Target="media/e2ef1fd019940bf164d70048c9874be665d69d62.png"/><Relationship Id="rId26" Type="http://schemas.openxmlformats.org/officeDocument/2006/relationships/image" Target="media/9a31c6c1c76c2e797a13546d3d15521e5965f8b8.png"/><Relationship Id="rId27" Type="http://schemas.openxmlformats.org/officeDocument/2006/relationships/image" Target="media/93a469bcbd9ed6d8258e4c56528ea21874122e7b.png"/><Relationship Id="rId28" Type="http://schemas.openxmlformats.org/officeDocument/2006/relationships/image" Target="media/38ff6f04fd9ec0066b2a6beb296283d0a63c0393.png"/><Relationship Id="rId29" Type="http://schemas.openxmlformats.org/officeDocument/2006/relationships/image" Target="media/4d1f6eadb2c797c88e897182bc90a340f7ad3154.png"/><Relationship Id="rId30" Type="http://schemas.openxmlformats.org/officeDocument/2006/relationships/image" Target="media/7f63d93d727881e90d8d7bc88c4e0837abb110ff.png"/><Relationship Id="rId31" Type="http://schemas.openxmlformats.org/officeDocument/2006/relationships/image" Target="media/317fca15a92e5569687a1c9d606c296f690ad1d8.png"/><Relationship Id="rId32" Type="http://schemas.openxmlformats.org/officeDocument/2006/relationships/image" Target="media/340474c27fbe1c1e3fe9efb2869a01846f919754.png"/><Relationship Id="rId33" Type="http://schemas.openxmlformats.org/officeDocument/2006/relationships/image" Target="media/9ed0017f620a8660684115fadb9b8122cef190f3.png"/><Relationship Id="rId34" Type="http://schemas.openxmlformats.org/officeDocument/2006/relationships/image" Target="media/3ee650acb444c5804a4db889d4ea09294a581ef0.png"/><Relationship Id="rId35" Type="http://schemas.openxmlformats.org/officeDocument/2006/relationships/image" Target="media/78bdc9d0c20912e2029c89810fcd25440abe46a5.png"/><Relationship Id="rId36" Type="http://schemas.openxmlformats.org/officeDocument/2006/relationships/image" Target="media/82f8eee262b125bc00f36d69bae68433920ea7b1.png"/><Relationship Id="rId37" Type="http://schemas.openxmlformats.org/officeDocument/2006/relationships/image" Target="media/765a168d8d9d2631ea00b6019843843b2a76754a.png"/><Relationship Id="rId38" Type="http://schemas.openxmlformats.org/officeDocument/2006/relationships/image" Target="media/ee48fad3977393fbaafc69ba810d55e80eebcbaf.png"/><Relationship Id="rId39" Type="http://schemas.openxmlformats.org/officeDocument/2006/relationships/image" Target="media/a4f334124f2f27a9a863e75c7d3a11d6043c4c2e.png"/><Relationship Id="rId40" Type="http://schemas.openxmlformats.org/officeDocument/2006/relationships/image" Target="media/174d99769003add47d095c1197a884814a2e6684.png"/><Relationship Id="rId41" Type="http://schemas.openxmlformats.org/officeDocument/2006/relationships/image" Target="media/c561f830bf144ab3fa30473a5e5da6af35ef738d.png"/><Relationship Id="rId4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– Consulta de Logs, $ BOMBA, Pedido Especial y Consecutivos</dc:title>
  <dc:creator>Aldebaran Web</dc:creator>
  <cp:lastModifiedBy>Un-named</cp:lastModifiedBy>
  <cp:revision>1</cp:revision>
  <dcterms:created xsi:type="dcterms:W3CDTF">2026-10-25T01:55:35.304Z</dcterms:created>
  <dcterms:modified xsi:type="dcterms:W3CDTF">2026-10-25T01:55:35.307Z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