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12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7F7F7F"/>
          <w:sz w:val="36"/>
          <w:szCs w:val="36"/>
        </w:rPr>
        <w:t xml:space="preserve">MANUAL DE USUARIO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NUEVAS FUNCIONALIDADES</w:t>
      </w:r>
    </w:p>
    <w:p>
      <w:pPr>
        <w:spacing w:after="1200"/>
        <w:jc w:val="right"/>
      </w:pPr>
      <w:r>
        <w:rPr>
          <w:rFonts w:ascii="Century Gothic" w:cs="Century Gothic" w:eastAsia="Century Gothic" w:hAnsi="Century Gothic"/>
          <w:color w:val="000000"/>
          <w:sz w:val="44"/>
          <w:szCs w:val="44"/>
        </w:rPr>
        <w:t xml:space="preserve">PARA ALDEBARAN WEB</w:t>
      </w:r>
    </w:p>
    <w:p>
      <w:pPr>
        <w:spacing w:after="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Complemento Módulo de Consulta de Logs,</w:t>
      </w:r>
    </w:p>
    <w:p>
      <w:pPr>
        <w:spacing w:after="1600"/>
        <w:jc w:val="right"/>
      </w:pPr>
      <w:r>
        <w:rPr>
          <w:rFonts w:ascii="Century Gothic" w:cs="Century Gothic" w:eastAsia="Century Gothic" w:hAnsi="Century Gothic"/>
          <w:color w:val="000000"/>
          <w:sz w:val="30"/>
          <w:szCs w:val="30"/>
        </w:rPr>
        <w:t xml:space="preserve">Precio Bomba y Pedido Especial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7F7F7F"/>
          <w:sz w:val="32"/>
          <w:szCs w:val="32"/>
        </w:rPr>
        <w:t xml:space="preserve">Para</w:t>
      </w:r>
    </w:p>
    <w:p>
      <w:pPr>
        <w:spacing w:after="2000"/>
        <w:jc w:val="center"/>
      </w:pPr>
      <w:r>
        <w:rPr>
          <w:rFonts w:ascii="Century Gothic" w:cs="Century Gothic" w:eastAsia="Century Gothic" w:hAnsi="Century Gothic"/>
          <w:color w:val="000000"/>
          <w:sz w:val="40"/>
          <w:szCs w:val="40"/>
        </w:rPr>
        <w:t xml:space="preserve">PROMOS</w:t>
      </w:r>
    </w:p>
    <w:p>
      <w:pPr>
        <w:spacing w:after="0"/>
        <w:jc w:val="center"/>
      </w:pPr>
      <w:r>
        <w:rPr>
          <w:rFonts w:ascii="Century Gothic" w:cs="Century Gothic" w:eastAsia="Century Gothic" w:hAnsi="Century Gothic"/>
          <w:color w:val="000000"/>
          <w:sz w:val="20"/>
          <w:szCs w:val="20"/>
        </w:rPr>
        <w:t xml:space="preserve">Bogotá, octubre de 2026</w:t>
      </w:r>
    </w:p>
    <w:p>
      <w:r>
        <w:br w:type="page"/>
      </w:r>
    </w:p>
    <w:p>
      <w:pPr>
        <w:spacing w:after="12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INTRODUCCIÓN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Este manual explica cómo usar las funcionalidades que se incorporan a Aldebarán Web con el requerimiento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Complemento del módulo de Consulta de Logs y Marca de Oferta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entregado en tres partes: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1: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visualización de alarmas, log de alarmas de inventario, Track por entidad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artículos.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2: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logs de despachos, traslados a proceso y órdenes de compra,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general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Entrega 3: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Precio bomba en reportes, filtros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 / No / Todos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marca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en pedidos.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capturas de pantalla marcadas con recuadro punteado se completan desde el ambiente de pruebas antes de la entrega final.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Roles requeridos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Da acceso a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ordenes de compra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órdenes: modificación, cancelación, solicitudes de ajustes, tolerancias de ajustes y visualización de alarmas de órdenes.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pedidos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pedidos: modificación, cancelación, cierre, despachos, traslados a proceso y visualización de alarmas de pedidos.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reservas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de reservas: modificación, cancelación y visualización de alarmas de reservas.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 inventarios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Visualización de alarmas de inventario e inactivaciones y refrescos de alarmas.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 del sistema (nuevo)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Log general y Track.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Modificación de artículos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Consecutivos de referencia interna (Administración).</w:t>
            </w:r>
          </w:p>
        </w:tc>
      </w:tr>
      <w:tr>
        <w:tc>
          <w:tcPr>
            <w:tcW w:type="dxa" w:w="30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Roles de pedidos y reportes existentes</w:t>
            </w:r>
          </w:p>
        </w:tc>
        <w:tc>
          <w:tcPr>
            <w:tcW w:type="dxa" w:w="63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Captura de Pedido especial y filtros nuevos en las pantallas que ya usan.</w:t>
            </w:r>
          </w:p>
        </w:tc>
      </w:tr>
    </w:tbl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Uso de los filtros Sí / No / Todos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Las condiciones que pueden ser verdaderas o falsas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 activo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 se filtran con una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casilla de tres estados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clic cambia el estado: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5160"/>
      </w:tblGrid>
      <w:tr>
        <w:trPr>
          <w:tblHeader/>
        </w:trP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La casilla muestra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Significa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Raya ( 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Todos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 filtra por esa condición. Es el valor inicial.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Chulo ( ✓ )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Sí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cumplen la condición.</w:t>
            </w:r>
          </w:p>
        </w:tc>
      </w:tr>
      <w:tr>
        <w:tc>
          <w:tcPr>
            <w:tcW w:type="dxa" w:w="24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Vacía</w:t>
            </w:r>
          </w:p>
        </w:tc>
        <w:tc>
          <w:tcPr>
            <w:tcW w:type="dxa" w:w="1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  <w:tc>
          <w:tcPr>
            <w:tcW w:type="dxa" w:w="51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Solo trae los registros que NO cumplen la condición.</w:t>
            </w:r>
          </w:p>
        </w:tc>
      </w:tr>
    </w:tbl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Cuando una condición queda en Sí o No, el resumen de filtros del reporte la muestra (por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especial: 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), también al imprimir o exportar a PDF.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CONSULTA DE LOGS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Todas las consultas están en el menú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Consulta de Log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Comparten la misma forma de trabajo: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rango de fechas es obligatorio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; no tiene límite máximo.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búsqueda por texto se aplica al presionar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Enter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Los resultados se muestran por páginas; el total aparece al pie de la grilla.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número de pedido u orden es un enlace que abre su detalle.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Visualización de alarmas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quién vio cada alarma y cuándo. Hay una opción por contexto: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ordenes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reservas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›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Visualización de alarmas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Seleccione el tipo de alarma (solo aparecen los que su rol permite).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en que la alarma se hizo visible en el tablero.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escriba un texto y presione Enter.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cada alarma, use el botón de visualizaciones para ver usuarios y fechas.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Solo se muestran alarmas activas y visualizaciones vigentes.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Visualización de alarmas de pedidos]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Inactivaciones y refrescos de alarmas de inventario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inventarios › Inactivaciones y refrescos de alarmas.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Registra cada vez que una alarma de cantidades mínimas, de Bodega Local o sin existencias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refresca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(vuelve a mostrarse porque la condición se repitió) o 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inactiva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Filtros: tipo de alarma, tipo de evento (refresco / inactivación), fechas y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fila muestra el estado anterior y el nuevo (cantidades y mínimo) y el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origen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(pantalla o proceso que lo causó, incluido el proceso programado de depuración).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Inactivaciones y refrescos de alarmas]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pedidos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 pedidos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ofrece modificación, cancelación y cierre de pedidos, y modificación y cancelación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despachos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de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traslados a proceso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Cada fila muestra cliente, pedido,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documento, fechas, motivo y quién lo hizo.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de modificación de despachos]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Logs de órdenes de compra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Solicitudes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una fila por solicitud de aprobación con su resolución (En aprobación, Aprobada o Devuelta), quién y cuándo resolvió y el motivo.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Tolerancias de ajustes: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cada cambio de rango de tolerancia con el valor anterior y el nuevo.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Solicitudes de ajustes de órdenes de compra]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Log general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Log general.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Concentra los mensajes técnicos de la aplicación y del Autómata de Existencias, agrupados por mensaje para identificar rápidamente los problemas repetidos.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Indique el rango de fechas (obligatorio).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Opcional: nivel (Información, Advertencia, Error…), origen y texto.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Cada grupo muestra cuántas veces ocurrió y su primera y última fecha.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Ocurrencias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ver cada evento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Detalle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para el mensaje completo y la excepción.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Log general]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Track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Log del sistema › Track.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Muestra cada cambio hecho desde la aplicación: qué registro, qué acción, quién y cuándo, con el valor anterior y el nuevo de cada campo.</w:t>
      </w:r>
    </w:p>
    <w:p>
      <w:pPr>
        <w:pStyle w:val="Heading3"/>
        <w:spacing w:after="80" w:before="160"/>
      </w:pPr>
      <w:r>
        <w:rPr>
          <w:rFonts w:ascii="Century Gothic" w:cs="Century Gothic" w:eastAsia="Century Gothic" w:hAnsi="Century Gothic"/>
          <w:b/>
          <w:bCs/>
          <w:color w:val="215E99"/>
          <w:sz w:val="21"/>
          <w:szCs w:val="21"/>
        </w:rPr>
        <w:t xml:space="preserve">Buscar por lo que conoce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Elija el tipo de objeto (pedido, orden de compra, artículo, referencia, cliente, etc.) y escriba el número o nombre; presione Enter.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Track muestra los movimientos de todas las entidades relacionadas con ese objeto. Si no busca por objeto, la entidad es obligatoria.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Filtre por fechas, acción o usuario.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el detalle: los campos aparecen en español y los cambios resaltados; active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Solo cambios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Ver campos técnicos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si lo necesita.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Las contraseñas nunca se muestran: aparecen como ******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 y, si cambiaron, </w:t>
      </w:r>
      <w:r>
        <w:rPr>
          <w:rFonts w:ascii="Century Gothic" w:cs="Century Gothic" w:eastAsia="Century Gothic" w:hAnsi="Century Gothic"/>
          <w:b/>
          <w:bCs/>
          <w:i/>
          <w:iCs/>
          <w:color w:val="7F7F7F"/>
          <w:sz w:val="18"/>
          <w:szCs w:val="18"/>
        </w:rPr>
        <w:t xml:space="preserve">**** (modificada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Detalle de un movimiento del Track]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PRECIO BOMBA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Marcar un artículo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Abra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Artículos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edite el artículo.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Marque la casilla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Precio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nombre queda con el sufijo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" - $ BOMBA"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Oferta y Precio bomba son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excluyentes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: al marcar una se desmarca la otra y cambia el sufijo.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nombre con el sufijo no puede superar 50 caracteres; si los supera, la pantalla lo indica.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 diferencia de Oferta, un artículo con Precio bomba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genera alarmas y aplica preorden como un artículo normal.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Edición de artículo con Precio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Marca en la alarma de cantidades mínimas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el tablero, al abrir el inventario de un artículo en alarma de cantidades mínimas, aparece la etiqueta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$ BOMBA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sobre la imagen. La misma marca sale en el Excel del correo periódico de cantidades mínimas.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Alarma de cantidades mínimas con marca $ BOMBA]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Precio bomba en reportes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Reporte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cambia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Artículos y referencias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Precio bomba y 10 condiciones Sí/No/Todos (Activo, Visible en página, Producto nacional, Importación especial, En promoción, Precio bomba, Referencia activa, Agotada, Con cantidad mínima general y en Bodega Local).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Stock mínimo de bodega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Filtro Precio bomba Sí/No/Todos.</w:t>
            </w:r>
          </w:p>
        </w:tc>
      </w:tr>
      <w:tr>
        <w:tc>
          <w:tcPr>
            <w:tcW w:type="dxa" w:w="28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Movimiento de referencia</w:t>
            </w:r>
          </w:p>
        </w:tc>
        <w:tc>
          <w:tcPr>
            <w:tcW w:type="dxa" w:w="65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Condiciones Artículo activo y Referencia activa (inician en Sí) y Precio bomba (inicia en Todos). Abierto desde una alarma, la referencia queda fija.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PEDIDO ESPECIAL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Marca que identifica los pedidos especiales. Los pedidos creados antes de esta versión quedan como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Crear un pedido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Pedidos › Nuevo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(o al pasar una reserva a pedido) diligencie el pedido como siempre.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Pedido especial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elija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 El campo es obligatorio y no trae valor por defecto.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Al guardar, confirme la selección: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Sí, crear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graba el pedido;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No, modificar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vuelve al formulario sin perder lo digitado.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Confirmación de Pedido especial al crear]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Modificar la marca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Editar pedido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puede cambiar Pedido especial. Si lo cambia, al guardar se pide confirmar (por ejemplo "Pedido especial cambia de NO a SÍ") antes del motivo de modificación. El cambio queda en el Track y en el log de modificaciones.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Dónde se 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Pantalla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Cómo aparece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Lista de pedidos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Pedido especial y casilla de tres estados para filtrar junto con el buscador.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Detalle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 especial: Sí/No.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Resumen del pedido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Se ve al imprimir y al guardar PDF (uso interno). El PDF que se envía por correo al cliente NO incluye Pedido especial ni Observaciones internas.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Reportes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Pedidos, Back order, Actividades, Ventas, Asignación automática y Pendientes de traslado automático: filtro Sí/No/Todos, dato por pedido y condición en el resumen. Las exportaciones de Pedidos y Back order incluyen la columna.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Modificación, cancelación y cierre de pedidos; despachos y traslados a proceso.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Tablero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Pedidos vencidos, pedidos con asignación automática de OC confirmadas y modificaciones de traslados automáticos.</w:t>
            </w:r>
          </w:p>
        </w:tc>
      </w:tr>
      <w:tr>
        <w:tc>
          <w:tcPr>
            <w:tcW w:type="dxa" w:w="2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Despachos y traslados</w:t>
            </w:r>
          </w:p>
        </w:tc>
        <w:tc>
          <w:tcPr>
            <w:tcW w:type="dxa" w:w="6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Columna en la lista de pedidos y dato en las pantallas de crear y modificar.</w:t>
            </w:r>
          </w:p>
        </w:tc>
      </w:tr>
    </w:tbl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CONSECUTIVOS DE REFERENCIA INTERNA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Administración › Consecutivos de referencia.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Permite pre-asignar la nomenclatura inicial de artículos nuevos (referencia interna) antes de crearlos. La referencia tiene el formato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CÓDIGO-NNN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por ejemplo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MU-026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Código: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el prefijo de la referencia (máximo 6 caracteres, sin espacios). Se guarda en mayúsculas.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Cantidad requerida: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cuántos consecutivos disponibles necesita en total.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Consultar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Muestra los consecutivos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disponibles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del código. Cuando un consecutivo se usa como referencia interna de un artículo, el sistema lo elimina de los disponibles.</w:t>
      </w:r>
    </w:p>
    <w:p>
      <w:pPr>
        <w:pStyle w:val="Heading2"/>
        <w:spacing w:after="100" w:before="240"/>
      </w:pPr>
      <w:r>
        <w:rPr>
          <w:rFonts w:ascii="Century Gothic" w:cs="Century Gothic" w:eastAsia="Century Gothic" w:hAnsi="Century Gothic"/>
          <w:b/>
          <w:bCs/>
          <w:color w:val="0F4761"/>
          <w:sz w:val="24"/>
          <w:szCs w:val="24"/>
        </w:rPr>
        <w:t xml:space="preserve">Generar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Escriba el código y la cantidad requerida.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Pulse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Generar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confirme.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El sistema completa hasta tener esa cantidad de disponibles: solo crea los que faltan, siguiendo al mayor consecutivo (disponible o ya usado en artículos). Si el código es nuevo, inicia en 001.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La grilla muestra todos los disponibles; la columna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Generado ahora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indica los nuevos. Si ya había suficientes, no genera ninguno y lo informa.</w:t>
      </w:r>
    </w:p>
    <w:p>
      <w:pPr>
        <w:spacing w:after="120" w:line="276"/>
      </w:pPr>
      <w:r>
        <w:rPr>
          <w:rFonts w:ascii="Century Gothic" w:cs="Century Gothic" w:eastAsia="Century Gothic" w:hAnsi="Century Gothic"/>
          <w:sz w:val="20"/>
          <w:szCs w:val="20"/>
        </w:rPr>
        <w:t xml:space="preserve">Ejemplo: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tiene disponibles MU-026 y MU-027 y el mayor usado en artículos es MU-025. Al pedir 5 se generan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MU-028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MU-029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 y </w:t>
      </w:r>
      <w:r>
        <w:rPr>
          <w:rFonts w:ascii="Century Gothic" w:cs="Century Gothic" w:eastAsia="Century Gothic" w:hAnsi="Century Gothic"/>
          <w:b/>
          <w:bCs/>
          <w:sz w:val="20"/>
          <w:szCs w:val="20"/>
        </w:rPr>
        <w:t xml:space="preserve">MU-030</w:t>
      </w:r>
      <w:r>
        <w:rPr>
          <w:rFonts w:ascii="Century Gothic" w:cs="Century Gothic" w:eastAsia="Century Gothic" w:hAnsi="Century Gothic"/>
          <w:sz w:val="20"/>
          <w:szCs w:val="20"/>
        </w:rPr>
        <w:t xml:space="preserve">, y quedan 5 disponibles. Si luego se pide 3, no se genera nada.</w:t>
      </w:r>
    </w:p>
    <w:p>
      <w:pPr>
        <w:spacing w:after="120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La creación del artículo no cambia: el usuario escribe la referencia interna asignada al crear el artículo.</w:t>
      </w:r>
    </w:p>
    <w:p>
      <w:pPr>
        <w:pBdr>
          <w:top w:val="dashed" w:color="BFBFBF" w:sz="4" w:space="6"/>
          <w:bottom w:val="dashed" w:color="BFBFBF" w:sz="4" w:space="6"/>
        </w:pBdr>
        <w:spacing w:after="160" w:before="80"/>
        <w:jc w:val="center"/>
      </w:pPr>
      <w:r>
        <w:rPr>
          <w:rFonts w:ascii="Century Gothic" w:cs="Century Gothic" w:eastAsia="Century Gothic" w:hAnsi="Century Gothic"/>
          <w:i/>
          <w:iCs/>
          <w:color w:val="7F7F7F"/>
          <w:sz w:val="18"/>
          <w:szCs w:val="18"/>
        </w:rPr>
        <w:t xml:space="preserve">[Captura de pantalla: Consecutivos de referencia interna]</w:t>
      </w:r>
    </w:p>
    <w:p>
      <w:pPr>
        <w:pStyle w:val="Heading1"/>
        <w:spacing w:after="120" w:before="360"/>
      </w:pPr>
      <w:r>
        <w:rPr>
          <w:rFonts w:ascii="Century Gothic" w:cs="Century Gothic" w:eastAsia="Century Gothic" w:hAnsi="Century Gothic"/>
          <w:color w:val="215E99"/>
          <w:sz w:val="28"/>
          <w:szCs w:val="28"/>
        </w:rPr>
        <w:t xml:space="preserve">PREGUNTAS FRECUENTES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rPr>
          <w:tblHeader/>
        </w:trP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0F476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entury Gothic" w:cs="Century Gothic" w:eastAsia="Century Gothic" w:hAnsi="Century Gothic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No veo una opción del menú Consulta de Log.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Solicite al administrador el rol correspondiente (ver Roles requeridos).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Una consulta de log no trae datos.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Verifique el rango de fechas: es obligatorio y se aplica sobre la fecha del evento.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reporte no trae los pedidos que esperaba.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Revise las casillas de tres estados: en raya no filtran; en chulo o vacías sí.</w:t>
            </w:r>
          </w:p>
        </w:tc>
      </w:tr>
      <w:tr>
        <w:tc>
          <w:tcPr>
            <w:tcW w:type="dxa" w:w="360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sz w:val="18"/>
                <w:szCs w:val="18"/>
              </w:rPr>
              <w:t xml:space="preserve">El cliente pregunta por el Pedido especial.</w:t>
            </w:r>
          </w:p>
        </w:tc>
        <w:tc>
          <w:tcPr>
            <w:tcW w:type="dxa" w:w="5760"/>
            <w:tcBorders>
              <w:top w:val="single" w:color="8EAADB" w:sz="4"/>
              <w:left w:val="single" w:color="8EAADB" w:sz="4"/>
              <w:bottom w:val="single" w:color="8EAADB" w:sz="4"/>
              <w:right w:val="single" w:color="8EAADB" w:sz="4"/>
            </w:tcBorders>
            <w:shd w:fill="DAE9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sz w:val="18"/>
                <w:szCs w:val="18"/>
              </w:rPr>
              <w:t xml:space="preserve">El dato es de uso interno: no se incluye en el correo al cliente.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entury Gothic" w:cs="Century Gothic" w:eastAsia="Century Gothic" w:hAnsi="Century Gothic"/>
        <w:color w:val="7F7F7F"/>
        <w:sz w:val="16"/>
        <w:szCs w:val="16"/>
      </w:rPr>
      <w:t xml:space="preserve">Manual de Usuario – Complemento Consulta de Logs  ·  Página </w:t>
    </w:r>
    <w:r>
      <w:rPr>
        <w:rFonts w:ascii="Century Gothic" w:cs="Century Gothic" w:eastAsia="Century Gothic" w:hAnsi="Century Gothic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9"/>
    <w:lvlOverride w:ilvl="0">
      <w:startOverride w:val="1"/>
    </w:lvlOverride>
  </w:num>
  <w:num w:numId="8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entury Gothic" w:cs="Century Gothic" w:eastAsia="Century Gothic" w:hAnsi="Century Gothic"/>
      <w:color w:val="215E9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entury Gothic" w:cs="Century Gothic" w:eastAsia="Century Gothic" w:hAnsi="Century Gothic"/>
      <w:b/>
      <w:bCs/>
      <w:color w:val="0F4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entury Gothic" w:cs="Century Gothic" w:eastAsia="Century Gothic" w:hAnsi="Century Gothic"/>
      <w:b/>
      <w:bCs/>
      <w:color w:val="215E99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– Complemento Consulta de Logs</dc:title>
  <dc:creator>Aldebaran Web</dc:creator>
  <cp:lastModifiedBy>Un-named</cp:lastModifiedBy>
  <cp:revision>1</cp:revision>
  <dcterms:created xsi:type="dcterms:W3CDTF">2026-10-24T19:10:16.613Z</dcterms:created>
  <dcterms:modified xsi:type="dcterms:W3CDTF">2026-10-24T19:10:16.621Z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